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Who Loses in the Next Era of Mag7?</w:t>
      </w:r>
    </w:p>
    <w:p>
      <w:pPr>
        <w:jc w:val="left"/>
      </w:pPr>
      <w:r>
        <w:rPr>
          <w:color w:val="667085"/>
          <w:sz w:val="18"/>
          <w:rFonts w:eastAsia="PingFang SC"/>
        </w:rPr>
        <w:t>Report date: 2026-05-24. Evidence base: AI Institute local archive through 2026-05-23T14:08:31.544Z, plus external market-tape and source-link checks performed on 2026-05-24. This is a corpus synthesis, not investment advice.</w:t>
      </w:r>
    </w:p>
    <w:p>
      <w:pPr>
        <w:pStyle w:val="Heading2"/>
      </w:pPr>
      <w:r>
        <w:t>1. Executive Thesis</w:t>
      </w:r>
    </w:p>
    <w:p>
      <w:r>
        <w:t>The AI Institute corpus does not support a one-line answer such as "the most expensive Mag7 name loses." It supports a more useful split: strategic relative losers, P&amp;L/FCF losers, and valuation-multiple losers.</w:t>
      </w:r>
    </w:p>
    <w:p>
      <w:r>
        <w:t>If forced to name one strategic loser, the answer is **Apple**. The reason is not a direct operating collapse thesis. The reason is that the Institute corpus repeatedly validates the next-era value chain around cloud AI infrastructure, AI capex, energy access, model efficiency, custom silicon, inference monetization, and capex-to-FCF conversion. Apple has almost no direct evidence in that validated chain. In an index where leadership is increasingly awarded to ownership of the AI infrastructure and monetization stack, absence of evidence becomes a relative-risk signal.</w:t>
      </w:r>
    </w:p>
    <w:p>
      <w:r>
        <w:t>If the question is narrowed to companies directly covered by the Institute evidence, **Meta** is the clearest P&amp;L/FCF pressure candidate. Meta has real AI advertising mechanisms, but the evidence frames it as the company whose incremental AI spend must keep proving ad-price, engagement, messaging-monetization, and efficiency gains while also absorbing higher capex, SBC, depreciation, and talent cost.</w:t>
      </w:r>
    </w:p>
    <w:p>
      <w:r>
        <w:t>**NVIDIA** is different. It is not the base-case fundamental loser in this corpus. It is the clearest multiple-risk name if the market moves from "scarce GPU supply" to "hyperscaler bargaining power, custom silicon, power efficiency, and upstream supply-chain allocation." The company can remain a strong earnings machine while its equity stops being the purest way to own AI capex.</w:t>
      </w:r>
    </w:p>
    <w:p>
      <w:r>
        <w:t>The weekend tape from 2026-05-16 to 2026-05-22 sharpens that distinction. It shows risk appetite cooling from extreme greed into greed, broad U.S. equity-fund outflows alongside continued technology-sector inflows, and a narrow attention funnel around AI infrastructure. NVDA printed strong Q1 FY2027 numbers but fell over the week; MU and ASTS attracted the high-beta retail imagination; RDDT showed that social attention can coexist with falling price. The tape therefore supports the report's central distinction: **AI demand is real, but the equity winner is the name that converts attention, capex, and supply-chain scarcity into durable FCF and pricing power**.</w:t>
      </w:r>
    </w:p>
    <w:p>
      <w:r>
        <w:drawing>
          <wp:inline xmlns:a="http://schemas.openxmlformats.org/drawingml/2006/main" xmlns:pic="http://schemas.openxmlformats.org/drawingml/2006/picture">
            <wp:extent cx="6035040" cy="3276165"/>
            <wp:docPr id="1" name="Picture 1"/>
            <wp:cNvGraphicFramePr>
              <a:graphicFrameLocks noChangeAspect="1"/>
            </wp:cNvGraphicFramePr>
            <a:graphic>
              <a:graphicData uri="http://schemas.openxmlformats.org/drawingml/2006/picture">
                <pic:pic>
                  <pic:nvPicPr>
                    <pic:cNvPr id="0" name="chain-evidence.png"/>
                    <pic:cNvPicPr/>
                  </pic:nvPicPr>
                  <pic:blipFill>
                    <a:blip r:embed="rId9"/>
                    <a:stretch>
                      <a:fillRect/>
                    </a:stretch>
                  </pic:blipFill>
                  <pic:spPr>
                    <a:xfrm>
                      <a:off x="0" y="0"/>
                      <a:ext cx="6035040" cy="3276165"/>
                    </a:xfrm>
                    <a:prstGeom prst="rect"/>
                  </pic:spPr>
                </pic:pic>
              </a:graphicData>
            </a:graphic>
          </wp:inline>
        </w:drawing>
      </w:r>
    </w:p>
    <w:p>
      <w:pPr>
        <w:jc w:val="center"/>
      </w:pPr>
      <w:r>
        <w:t>Industry-chain evidence density</w:t>
      </w:r>
    </w:p>
    <w:p>
      <w:pPr>
        <w:pStyle w:val="Heading2"/>
      </w:pPr>
      <w:r>
        <w:t>2. Ranking: Who Loses What?</w:t>
      </w:r>
    </w:p>
    <w:tbl>
      <w:tblPr>
        <w:tblStyle w:val="TableGrid"/>
        <w:tblW w:type="auto" w:w="0"/>
        <w:jc w:val="center"/>
        <w:tblLayout w:type="fixed"/>
        <w:tblLook w:firstColumn="1" w:firstRow="1" w:lastColumn="0" w:lastRow="0" w:noHBand="0" w:noVBand="1" w:val="04A0"/>
      </w:tblPr>
      <w:tblGrid>
        <w:gridCol w:w="2016"/>
        <w:gridCol w:w="2016"/>
        <w:gridCol w:w="2016"/>
        <w:gridCol w:w="2016"/>
        <w:gridCol w:w="2016"/>
      </w:tblGrid>
      <w:tr>
        <w:tc>
          <w:tcPr>
            <w:tcW w:type="dxa" w:w="504"/>
            <w:vAlign w:val="top"/>
            <w:shd w:fill="E9EEF6"/>
          </w:tcPr>
          <w:p>
            <w:pPr>
              <w:jc w:val="center"/>
            </w:pPr>
            <w:r>
              <w:rPr>
                <w:rFonts w:ascii="Aptos" w:hAnsi="Aptos" w:eastAsia="PingFang SC"/>
                <w:b/>
                <w:sz w:val="17"/>
              </w:rPr>
              <w:t>Rank</w:t>
            </w:r>
          </w:p>
        </w:tc>
        <w:tc>
          <w:tcPr>
            <w:tcW w:type="dxa" w:w="1512"/>
            <w:vAlign w:val="top"/>
            <w:shd w:fill="E9EEF6"/>
          </w:tcPr>
          <w:p>
            <w:pPr>
              <w:jc w:val="left"/>
            </w:pPr>
            <w:r>
              <w:rPr>
                <w:rFonts w:ascii="Aptos" w:hAnsi="Aptos" w:eastAsia="PingFang SC"/>
                <w:b/>
                <w:sz w:val="17"/>
              </w:rPr>
              <w:t>Company</w:t>
            </w:r>
          </w:p>
        </w:tc>
        <w:tc>
          <w:tcPr>
            <w:tcW w:type="dxa" w:w="1080"/>
            <w:vAlign w:val="top"/>
            <w:shd w:fill="E9EEF6"/>
          </w:tcPr>
          <w:p>
            <w:pPr>
              <w:jc w:val="left"/>
            </w:pPr>
            <w:r>
              <w:rPr>
                <w:rFonts w:ascii="Aptos" w:hAnsi="Aptos" w:eastAsia="PingFang SC"/>
                <w:b/>
                <w:sz w:val="17"/>
              </w:rPr>
              <w:t>Loss Type</w:t>
            </w:r>
          </w:p>
        </w:tc>
        <w:tc>
          <w:tcPr>
            <w:tcW w:type="dxa" w:w="2880"/>
            <w:vAlign w:val="top"/>
            <w:shd w:fill="E9EEF6"/>
          </w:tcPr>
          <w:p>
            <w:pPr>
              <w:jc w:val="left"/>
            </w:pPr>
            <w:r>
              <w:rPr>
                <w:rFonts w:ascii="Aptos" w:hAnsi="Aptos" w:eastAsia="PingFang SC"/>
                <w:b/>
                <w:sz w:val="17"/>
              </w:rPr>
              <w:t>Corpus-Based Rationale</w:t>
            </w:r>
          </w:p>
        </w:tc>
        <w:tc>
          <w:tcPr>
            <w:tcW w:type="dxa" w:w="3528"/>
            <w:vAlign w:val="top"/>
            <w:shd w:fill="E9EEF6"/>
          </w:tcPr>
          <w:p>
            <w:pPr>
              <w:jc w:val="center"/>
            </w:pPr>
            <w:r>
              <w:rPr>
                <w:rFonts w:ascii="Aptos" w:hAnsi="Aptos" w:eastAsia="PingFang SC"/>
                <w:b/>
                <w:sz w:val="17"/>
              </w:rPr>
              <w:t>What Would Change the View</w:t>
            </w:r>
          </w:p>
        </w:tc>
      </w:tr>
      <w:tr>
        <w:tc>
          <w:tcPr>
            <w:tcW w:type="dxa" w:w="504"/>
            <w:vAlign w:val="top"/>
          </w:tcPr>
          <w:p>
            <w:pPr>
              <w:jc w:val="center"/>
            </w:pPr>
            <w:r>
              <w:rPr>
                <w:rFonts w:ascii="Aptos" w:hAnsi="Aptos" w:eastAsia="PingFang SC"/>
                <w:b w:val="0"/>
                <w:sz w:val="16"/>
              </w:rPr>
              <w:t>1</w:t>
            </w:r>
          </w:p>
        </w:tc>
        <w:tc>
          <w:tcPr>
            <w:tcW w:type="dxa" w:w="1512"/>
            <w:vAlign w:val="top"/>
          </w:tcPr>
          <w:p>
            <w:pPr>
              <w:jc w:val="left"/>
            </w:pPr>
            <w:r>
              <w:rPr>
                <w:rFonts w:ascii="Aptos" w:hAnsi="Aptos" w:eastAsia="PingFang SC"/>
                <w:b w:val="0"/>
                <w:sz w:val="16"/>
              </w:rPr>
              <w:t>Apple</w:t>
            </w:r>
          </w:p>
        </w:tc>
        <w:tc>
          <w:tcPr>
            <w:tcW w:type="dxa" w:w="1080"/>
            <w:vAlign w:val="top"/>
          </w:tcPr>
          <w:p>
            <w:pPr>
              <w:jc w:val="left"/>
            </w:pPr>
            <w:r>
              <w:rPr>
                <w:rFonts w:ascii="Aptos" w:hAnsi="Aptos" w:eastAsia="PingFang SC"/>
                <w:b w:val="0"/>
                <w:sz w:val="16"/>
              </w:rPr>
              <w:t>Strategic relative loser</w:t>
            </w:r>
          </w:p>
        </w:tc>
        <w:tc>
          <w:tcPr>
            <w:tcW w:type="dxa" w:w="2880"/>
            <w:vAlign w:val="top"/>
          </w:tcPr>
          <w:p>
            <w:pPr>
              <w:jc w:val="left"/>
            </w:pPr>
            <w:r>
              <w:rPr>
                <w:rFonts w:ascii="Aptos" w:hAnsi="Aptos" w:eastAsia="PingFang SC"/>
                <w:b w:val="0"/>
                <w:sz w:val="16"/>
              </w:rPr>
              <w:t>The validated next-era chain is cloud AI, power, AI infrastructure, inference economics, custom silicon, and capex-to-FCF conversion. Apple has little direct evidence in the Institute corpus against those variables, so it risks losing leadership premium rather than facing immediate earnings collapse.</w:t>
            </w:r>
          </w:p>
        </w:tc>
        <w:tc>
          <w:tcPr>
            <w:tcW w:type="dxa" w:w="3528"/>
            <w:vAlign w:val="top"/>
          </w:tcPr>
          <w:p>
            <w:pPr>
              <w:jc w:val="center"/>
            </w:pPr>
            <w:r>
              <w:rPr>
                <w:rFonts w:ascii="Aptos" w:hAnsi="Aptos" w:eastAsia="PingFang SC"/>
                <w:b w:val="0"/>
                <w:sz w:val="16"/>
              </w:rPr>
              <w:t>Clear evidence that device-side AI creates measurable services ARPU, replacement-cycle acceleration, or on-device inference economics that rival cloud monetization.</w:t>
            </w:r>
          </w:p>
        </w:tc>
      </w:tr>
      <w:tr>
        <w:tc>
          <w:tcPr>
            <w:tcW w:type="dxa" w:w="504"/>
            <w:vAlign w:val="top"/>
          </w:tcPr>
          <w:p>
            <w:pPr>
              <w:jc w:val="center"/>
            </w:pPr>
            <w:r>
              <w:rPr>
                <w:rFonts w:ascii="Aptos" w:hAnsi="Aptos" w:eastAsia="PingFang SC"/>
                <w:b w:val="0"/>
                <w:sz w:val="16"/>
              </w:rPr>
              <w:t>2</w:t>
            </w:r>
          </w:p>
        </w:tc>
        <w:tc>
          <w:tcPr>
            <w:tcW w:type="dxa" w:w="1512"/>
            <w:vAlign w:val="top"/>
          </w:tcPr>
          <w:p>
            <w:pPr>
              <w:jc w:val="left"/>
            </w:pPr>
            <w:r>
              <w:rPr>
                <w:rFonts w:ascii="Aptos" w:hAnsi="Aptos" w:eastAsia="PingFang SC"/>
                <w:b w:val="0"/>
                <w:sz w:val="16"/>
              </w:rPr>
              <w:t>Tesla</w:t>
            </w:r>
          </w:p>
        </w:tc>
        <w:tc>
          <w:tcPr>
            <w:tcW w:type="dxa" w:w="1080"/>
            <w:vAlign w:val="top"/>
          </w:tcPr>
          <w:p>
            <w:pPr>
              <w:jc w:val="left"/>
            </w:pPr>
            <w:r>
              <w:rPr>
                <w:rFonts w:ascii="Aptos" w:hAnsi="Aptos" w:eastAsia="PingFang SC"/>
                <w:b w:val="0"/>
                <w:sz w:val="16"/>
              </w:rPr>
              <w:t>Narrative-duration loser</w:t>
            </w:r>
          </w:p>
        </w:tc>
        <w:tc>
          <w:tcPr>
            <w:tcW w:type="dxa" w:w="2880"/>
            <w:vAlign w:val="top"/>
          </w:tcPr>
          <w:p>
            <w:pPr>
              <w:jc w:val="left"/>
            </w:pPr>
            <w:r>
              <w:rPr>
                <w:rFonts w:ascii="Aptos" w:hAnsi="Aptos" w:eastAsia="PingFang SC"/>
                <w:b w:val="0"/>
                <w:sz w:val="16"/>
              </w:rPr>
              <w:t>Tesla is also outside the corpus-validated AI infrastructure and monetization chain. The weekend tape shows TSLA as an attention relay rather than the strongest trading narrative; ASTS, MU, and NVDA absorbed more of the viral AI-infrastructure energy. In a higher real-rate environment, long-duration optionality needs proof of cash conversion, not only autonomy or robotics narrative value.</w:t>
            </w:r>
          </w:p>
        </w:tc>
        <w:tc>
          <w:tcPr>
            <w:tcW w:type="dxa" w:w="3528"/>
            <w:vAlign w:val="top"/>
          </w:tcPr>
          <w:p>
            <w:pPr>
              <w:jc w:val="center"/>
            </w:pPr>
            <w:r>
              <w:rPr>
                <w:rFonts w:ascii="Aptos" w:hAnsi="Aptos" w:eastAsia="PingFang SC"/>
                <w:b w:val="0"/>
                <w:sz w:val="16"/>
              </w:rPr>
              <w:t>Verified unit economics and deployment proof for autonomy/robotics that show recurring cash flow, not only technical progress.</w:t>
            </w:r>
          </w:p>
        </w:tc>
      </w:tr>
      <w:tr>
        <w:tc>
          <w:tcPr>
            <w:tcW w:type="dxa" w:w="504"/>
            <w:vAlign w:val="top"/>
          </w:tcPr>
          <w:p>
            <w:pPr>
              <w:jc w:val="center"/>
            </w:pPr>
            <w:r>
              <w:rPr>
                <w:rFonts w:ascii="Aptos" w:hAnsi="Aptos" w:eastAsia="PingFang SC"/>
                <w:b w:val="0"/>
                <w:sz w:val="16"/>
              </w:rPr>
              <w:t>3</w:t>
            </w:r>
          </w:p>
        </w:tc>
        <w:tc>
          <w:tcPr>
            <w:tcW w:type="dxa" w:w="1512"/>
            <w:vAlign w:val="top"/>
          </w:tcPr>
          <w:p>
            <w:pPr>
              <w:jc w:val="left"/>
            </w:pPr>
            <w:r>
              <w:rPr>
                <w:rFonts w:ascii="Aptos" w:hAnsi="Aptos" w:eastAsia="PingFang SC"/>
                <w:b w:val="0"/>
                <w:sz w:val="16"/>
              </w:rPr>
              <w:t>Meta</w:t>
            </w:r>
          </w:p>
        </w:tc>
        <w:tc>
          <w:tcPr>
            <w:tcW w:type="dxa" w:w="1080"/>
            <w:vAlign w:val="top"/>
          </w:tcPr>
          <w:p>
            <w:pPr>
              <w:jc w:val="left"/>
            </w:pPr>
            <w:r>
              <w:rPr>
                <w:rFonts w:ascii="Aptos" w:hAnsi="Aptos" w:eastAsia="PingFang SC"/>
                <w:b w:val="0"/>
                <w:sz w:val="16"/>
              </w:rPr>
              <w:t>Direct P&amp;L/FCF loser candidate</w:t>
            </w:r>
          </w:p>
        </w:tc>
        <w:tc>
          <w:tcPr>
            <w:tcW w:type="dxa" w:w="2880"/>
            <w:vAlign w:val="top"/>
          </w:tcPr>
          <w:p>
            <w:pPr>
              <w:jc w:val="left"/>
            </w:pPr>
            <w:r>
              <w:rPr>
                <w:rFonts w:ascii="Aptos" w:hAnsi="Aptos" w:eastAsia="PingFang SC"/>
                <w:b w:val="0"/>
                <w:sz w:val="16"/>
              </w:rPr>
              <w:t>Direct evidence highlights capex intensity, SBC pressure, and the need for advertising AI to keep raising engagement, pricing, and conversion efficiency. Meta is the clearest name where AI spend can become a payback-period test.</w:t>
            </w:r>
          </w:p>
        </w:tc>
        <w:tc>
          <w:tcPr>
            <w:tcW w:type="dxa" w:w="3528"/>
            <w:vAlign w:val="top"/>
          </w:tcPr>
          <w:p>
            <w:pPr>
              <w:jc w:val="center"/>
            </w:pPr>
            <w:r>
              <w:rPr>
                <w:rFonts w:ascii="Aptos" w:hAnsi="Aptos" w:eastAsia="PingFang SC"/>
                <w:b w:val="0"/>
                <w:sz w:val="16"/>
              </w:rPr>
              <w:t>Ad pricing, Reels monetization, Advantage+ efficiency, and messaging monetization keep rising faster than capex, depreciation, and SBC.</w:t>
            </w:r>
          </w:p>
        </w:tc>
      </w:tr>
      <w:tr>
        <w:tc>
          <w:tcPr>
            <w:tcW w:type="dxa" w:w="504"/>
            <w:vAlign w:val="top"/>
          </w:tcPr>
          <w:p>
            <w:pPr>
              <w:jc w:val="center"/>
            </w:pPr>
            <w:r>
              <w:rPr>
                <w:rFonts w:ascii="Aptos" w:hAnsi="Aptos" w:eastAsia="PingFang SC"/>
                <w:b w:val="0"/>
                <w:sz w:val="16"/>
              </w:rPr>
              <w:t>4</w:t>
            </w:r>
          </w:p>
        </w:tc>
        <w:tc>
          <w:tcPr>
            <w:tcW w:type="dxa" w:w="1512"/>
            <w:vAlign w:val="top"/>
          </w:tcPr>
          <w:p>
            <w:pPr>
              <w:jc w:val="left"/>
            </w:pPr>
            <w:r>
              <w:rPr>
                <w:rFonts w:ascii="Aptos" w:hAnsi="Aptos" w:eastAsia="PingFang SC"/>
                <w:b w:val="0"/>
                <w:sz w:val="16"/>
              </w:rPr>
              <w:t>NVIDIA</w:t>
            </w:r>
          </w:p>
        </w:tc>
        <w:tc>
          <w:tcPr>
            <w:tcW w:type="dxa" w:w="1080"/>
            <w:vAlign w:val="top"/>
          </w:tcPr>
          <w:p>
            <w:pPr>
              <w:jc w:val="left"/>
            </w:pPr>
            <w:r>
              <w:rPr>
                <w:rFonts w:ascii="Aptos" w:hAnsi="Aptos" w:eastAsia="PingFang SC"/>
                <w:b w:val="0"/>
                <w:sz w:val="16"/>
              </w:rPr>
              <w:t>Valuation-multiple loser candidate</w:t>
            </w:r>
          </w:p>
        </w:tc>
        <w:tc>
          <w:tcPr>
            <w:tcW w:type="dxa" w:w="2880"/>
            <w:vAlign w:val="top"/>
          </w:tcPr>
          <w:p>
            <w:pPr>
              <w:jc w:val="left"/>
            </w:pPr>
            <w:r>
              <w:rPr>
                <w:rFonts w:ascii="Aptos" w:hAnsi="Aptos" w:eastAsia="PingFang SC"/>
                <w:b w:val="0"/>
                <w:sz w:val="16"/>
              </w:rPr>
              <w:t>Q1 FY27 data-center revenue confirms AI capex, but the corpus also points to CSP ASIC expansion, hyperscaler bargaining, power bottlenecks, and cash moving into CoWoS/HBM, networking, and ODMs. The 2026-05-16 to 2026-05-22 tape adds a live confirmation: strong earnings did not prevent weekly price weakness.</w:t>
            </w:r>
          </w:p>
        </w:tc>
        <w:tc>
          <w:tcPr>
            <w:tcW w:type="dxa" w:w="3528"/>
            <w:vAlign w:val="top"/>
          </w:tcPr>
          <w:p>
            <w:pPr>
              <w:jc w:val="center"/>
            </w:pPr>
            <w:r>
              <w:rPr>
                <w:rFonts w:ascii="Aptos" w:hAnsi="Aptos" w:eastAsia="PingFang SC"/>
                <w:b w:val="0"/>
                <w:sz w:val="16"/>
              </w:rPr>
              <w:t>Data-center growth keeps accelerating while margins hold, CSP ASIC penetration is delayed, hyperscaler capex remains supply constrained, and post-earnings price action reclaims leadership versus MU/AMD/DELL/ASTS-style alternatives.</w:t>
            </w:r>
          </w:p>
        </w:tc>
      </w:tr>
      <w:tr>
        <w:tc>
          <w:tcPr>
            <w:tcW w:type="dxa" w:w="504"/>
            <w:vAlign w:val="top"/>
          </w:tcPr>
          <w:p>
            <w:pPr>
              <w:jc w:val="center"/>
            </w:pPr>
            <w:r>
              <w:rPr>
                <w:rFonts w:ascii="Aptos" w:hAnsi="Aptos" w:eastAsia="PingFang SC"/>
                <w:b w:val="0"/>
                <w:sz w:val="16"/>
              </w:rPr>
              <w:t>5</w:t>
            </w:r>
          </w:p>
        </w:tc>
        <w:tc>
          <w:tcPr>
            <w:tcW w:type="dxa" w:w="1512"/>
            <w:vAlign w:val="top"/>
          </w:tcPr>
          <w:p>
            <w:pPr>
              <w:jc w:val="left"/>
            </w:pPr>
            <w:r>
              <w:rPr>
                <w:rFonts w:ascii="Aptos" w:hAnsi="Aptos" w:eastAsia="PingFang SC"/>
                <w:b w:val="0"/>
                <w:sz w:val="16"/>
              </w:rPr>
              <w:t>Amazon</w:t>
            </w:r>
          </w:p>
        </w:tc>
        <w:tc>
          <w:tcPr>
            <w:tcW w:type="dxa" w:w="1080"/>
            <w:vAlign w:val="top"/>
          </w:tcPr>
          <w:p>
            <w:pPr>
              <w:jc w:val="left"/>
            </w:pPr>
            <w:r>
              <w:rPr>
                <w:rFonts w:ascii="Aptos" w:hAnsi="Aptos" w:eastAsia="PingFang SC"/>
                <w:b w:val="0"/>
                <w:sz w:val="16"/>
              </w:rPr>
              <w:t>ROIC and depreciation test</w:t>
            </w:r>
          </w:p>
        </w:tc>
        <w:tc>
          <w:tcPr>
            <w:tcW w:type="dxa" w:w="2880"/>
            <w:vAlign w:val="top"/>
          </w:tcPr>
          <w:p>
            <w:pPr>
              <w:jc w:val="left"/>
            </w:pPr>
            <w:r>
              <w:rPr>
                <w:rFonts w:ascii="Aptos" w:hAnsi="Aptos" w:eastAsia="PingFang SC"/>
                <w:b w:val="0"/>
                <w:sz w:val="16"/>
              </w:rPr>
              <w:t>AWS and automation are offsets, but cloud capex, server-life assumptions, and FCF conversion remain under pressure. Amazon is not the top loser because it has multiple internal efficiency levers.</w:t>
            </w:r>
          </w:p>
        </w:tc>
        <w:tc>
          <w:tcPr>
            <w:tcW w:type="dxa" w:w="3528"/>
            <w:vAlign w:val="top"/>
          </w:tcPr>
          <w:p>
            <w:pPr>
              <w:jc w:val="center"/>
            </w:pPr>
            <w:r>
              <w:rPr>
                <w:rFonts w:ascii="Aptos" w:hAnsi="Aptos" w:eastAsia="PingFang SC"/>
                <w:b w:val="0"/>
                <w:sz w:val="16"/>
              </w:rPr>
              <w:t>AWS growth, Trainium/Inferentia economics, logistics automation, and capex discipline improve together.</w:t>
            </w:r>
          </w:p>
        </w:tc>
      </w:tr>
      <w:tr>
        <w:tc>
          <w:tcPr>
            <w:tcW w:type="dxa" w:w="504"/>
            <w:vAlign w:val="top"/>
          </w:tcPr>
          <w:p>
            <w:pPr>
              <w:jc w:val="center"/>
            </w:pPr>
            <w:r>
              <w:rPr>
                <w:rFonts w:ascii="Aptos" w:hAnsi="Aptos" w:eastAsia="PingFang SC"/>
                <w:b w:val="0"/>
                <w:sz w:val="16"/>
              </w:rPr>
              <w:t>6</w:t>
            </w:r>
          </w:p>
        </w:tc>
        <w:tc>
          <w:tcPr>
            <w:tcW w:type="dxa" w:w="1512"/>
            <w:vAlign w:val="top"/>
          </w:tcPr>
          <w:p>
            <w:pPr>
              <w:jc w:val="left"/>
            </w:pPr>
            <w:r>
              <w:rPr>
                <w:rFonts w:ascii="Aptos" w:hAnsi="Aptos" w:eastAsia="PingFang SC"/>
                <w:b w:val="0"/>
                <w:sz w:val="16"/>
              </w:rPr>
              <w:t>Alphabet</w:t>
            </w:r>
          </w:p>
        </w:tc>
        <w:tc>
          <w:tcPr>
            <w:tcW w:type="dxa" w:w="1080"/>
            <w:vAlign w:val="top"/>
          </w:tcPr>
          <w:p>
            <w:pPr>
              <w:jc w:val="left"/>
            </w:pPr>
            <w:r>
              <w:rPr>
                <w:rFonts w:ascii="Aptos" w:hAnsi="Aptos" w:eastAsia="PingFang SC"/>
                <w:b w:val="0"/>
                <w:sz w:val="16"/>
              </w:rPr>
              <w:t>Heavy-capex survivor</w:t>
            </w:r>
          </w:p>
        </w:tc>
        <w:tc>
          <w:tcPr>
            <w:tcW w:type="dxa" w:w="2880"/>
            <w:vAlign w:val="top"/>
          </w:tcPr>
          <w:p>
            <w:pPr>
              <w:jc w:val="left"/>
            </w:pPr>
            <w:r>
              <w:rPr>
                <w:rFonts w:ascii="Aptos" w:hAnsi="Aptos" w:eastAsia="PingFang SC"/>
                <w:b w:val="0"/>
                <w:sz w:val="16"/>
              </w:rPr>
              <w:t>Alphabet faces capex and SBC pressure, but has direct corpus support from Google Cloud backlog, TPU/Ironwood efficiency, and cloud operating-profit improvement.</w:t>
            </w:r>
          </w:p>
        </w:tc>
        <w:tc>
          <w:tcPr>
            <w:tcW w:type="dxa" w:w="3528"/>
            <w:vAlign w:val="top"/>
          </w:tcPr>
          <w:p>
            <w:pPr>
              <w:jc w:val="center"/>
            </w:pPr>
            <w:r>
              <w:rPr>
                <w:rFonts w:ascii="Aptos" w:hAnsi="Aptos" w:eastAsia="PingFang SC"/>
                <w:b w:val="0"/>
                <w:sz w:val="16"/>
              </w:rPr>
              <w:t>Cloud backlog fails to convert, TPU efficiency does not lower capital intensity, or search AI monetization weakens margins.</w:t>
            </w:r>
          </w:p>
        </w:tc>
      </w:tr>
      <w:tr>
        <w:tc>
          <w:tcPr>
            <w:tcW w:type="dxa" w:w="504"/>
            <w:vAlign w:val="top"/>
          </w:tcPr>
          <w:p>
            <w:pPr>
              <w:jc w:val="center"/>
            </w:pPr>
            <w:r>
              <w:rPr>
                <w:rFonts w:ascii="Aptos" w:hAnsi="Aptos" w:eastAsia="PingFang SC"/>
                <w:b w:val="0"/>
                <w:sz w:val="16"/>
              </w:rPr>
              <w:t>7</w:t>
            </w:r>
          </w:p>
        </w:tc>
        <w:tc>
          <w:tcPr>
            <w:tcW w:type="dxa" w:w="1512"/>
            <w:vAlign w:val="top"/>
          </w:tcPr>
          <w:p>
            <w:pPr>
              <w:jc w:val="left"/>
            </w:pPr>
            <w:r>
              <w:rPr>
                <w:rFonts w:ascii="Aptos" w:hAnsi="Aptos" w:eastAsia="PingFang SC"/>
                <w:b w:val="0"/>
                <w:sz w:val="16"/>
              </w:rPr>
              <w:t>Microsoft</w:t>
            </w:r>
          </w:p>
        </w:tc>
        <w:tc>
          <w:tcPr>
            <w:tcW w:type="dxa" w:w="1080"/>
            <w:vAlign w:val="top"/>
          </w:tcPr>
          <w:p>
            <w:pPr>
              <w:jc w:val="left"/>
            </w:pPr>
            <w:r>
              <w:rPr>
                <w:rFonts w:ascii="Aptos" w:hAnsi="Aptos" w:eastAsia="PingFang SC"/>
                <w:b w:val="0"/>
                <w:sz w:val="16"/>
              </w:rPr>
              <w:t>Least likely loser in this corpus</w:t>
            </w:r>
          </w:p>
        </w:tc>
        <w:tc>
          <w:tcPr>
            <w:tcW w:type="dxa" w:w="2880"/>
            <w:vAlign w:val="top"/>
          </w:tcPr>
          <w:p>
            <w:pPr>
              <w:jc w:val="left"/>
            </w:pPr>
            <w:r>
              <w:rPr>
                <w:rFonts w:ascii="Aptos" w:hAnsi="Aptos" w:eastAsia="PingFang SC"/>
                <w:b w:val="0"/>
                <w:sz w:val="16"/>
              </w:rPr>
              <w:t>Microsoft has the strongest direct monetization evidence: Cloud revenue growth, AI ARR, backlog, enterprise distribution, and Copilot pricing migration. It still has a capital-intensity problem, but the corpus gives it the best bridge from capex to revenue.</w:t>
            </w:r>
          </w:p>
        </w:tc>
        <w:tc>
          <w:tcPr>
            <w:tcW w:type="dxa" w:w="3528"/>
            <w:vAlign w:val="top"/>
          </w:tcPr>
          <w:p>
            <w:pPr>
              <w:jc w:val="center"/>
            </w:pPr>
            <w:r>
              <w:rPr>
                <w:rFonts w:ascii="Aptos" w:hAnsi="Aptos" w:eastAsia="PingFang SC"/>
                <w:b w:val="0"/>
                <w:sz w:val="16"/>
              </w:rPr>
              <w:t>Azure/Copilot growth slows while capex, leases, depreciation, and SBC keep rising.</w:t>
            </w:r>
          </w:p>
        </w:tc>
      </w:tr>
    </w:tbl>
    <w:p/>
    <w:p>
      <w:pPr>
        <w:pStyle w:val="Heading2"/>
      </w:pPr>
      <w:r>
        <w:t>3. Why This Is the Next-Era Test</w:t>
      </w:r>
    </w:p>
    <w:p>
      <w:r>
        <w:t>The old Mag7 framework rewarded asset-light digital platforms, network effects, and duration. The new framework increasingly rewards a different bundle:</w:t>
      </w:r>
    </w:p>
    <w:p>
      <w:pPr>
        <w:pStyle w:val="ListBullet"/>
      </w:pPr>
      <w:r>
        <w:t>direct control over cloud capacity, power access, and data-center buildout;</w:t>
      </w:r>
    </w:p>
    <w:p>
      <w:pPr>
        <w:pStyle w:val="ListBullet"/>
      </w:pPr>
      <w:r>
        <w:t>ability to turn AI capex into utilization, revenue density, and FCF;</w:t>
      </w:r>
    </w:p>
    <w:p>
      <w:pPr>
        <w:pStyle w:val="ListBullet"/>
      </w:pPr>
      <w:r>
        <w:t>efficiency advantage through custom silicon, PUE, liquid cooling, and inference cost decline;</w:t>
      </w:r>
    </w:p>
    <w:p>
      <w:pPr>
        <w:pStyle w:val="ListBullet"/>
      </w:pPr>
      <w:r>
        <w:t>bargaining position against scarce suppliers and scarce electricity;</w:t>
      </w:r>
    </w:p>
    <w:p>
      <w:pPr>
        <w:pStyle w:val="ListBullet"/>
      </w:pPr>
      <w:r>
        <w:t>pricing power that can absorb depreciation, finance leases, talent inflation, and SBC.</w:t>
      </w:r>
    </w:p>
    <w:p>
      <w:r>
        <w:t>This is why the loser question is not "who uses AI least?" The better question is: **who cannot prove that AI changes the cash-flow bridge enough to justify a heavier capital base?**</w:t>
      </w:r>
    </w:p>
    <w:p>
      <w:r>
        <w:t>The corpus repeatedly states that AI demand is real, but real demand is not the same as equity upside. When the capital base grows faster than revenue density, equity holders can lose through slower FCF conversion, higher depreciation, lower ROIC, higher SBC, and a higher discount rate.</w:t>
      </w:r>
    </w:p>
    <w:p>
      <w:pPr>
        <w:pStyle w:val="Heading2"/>
      </w:pPr>
      <w:r>
        <w:t>4. Evidence Ledger</w:t>
      </w:r>
    </w:p>
    <w:p>
      <w:r>
        <w:t>The selected evidence set now contains 23 sources: 14 AI Institute source reports and 9 external market-tape, company-disclosure, fund-flow, and social-attention sources. The purpose of the expansion is to keep the strategic corpus thesis intact while adding a live-market validation layer for the 2026-05-16 to 2026-05-22 window.</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sz w:val="17"/>
              </w:rPr>
              <w:t>Evidence</w:t>
            </w:r>
          </w:p>
        </w:tc>
        <w:tc>
          <w:tcPr>
            <w:tcW w:type="dxa" w:w="2088"/>
            <w:vAlign w:val="top"/>
            <w:shd w:fill="E9EEF6"/>
          </w:tcPr>
          <w:p>
            <w:pPr>
              <w:jc w:val="left"/>
            </w:pPr>
            <w:r>
              <w:rPr>
                <w:rFonts w:ascii="Aptos" w:hAnsi="Aptos" w:eastAsia="PingFang SC"/>
                <w:b/>
                <w:sz w:val="17"/>
              </w:rPr>
              <w:t>Source</w:t>
            </w:r>
          </w:p>
        </w:tc>
        <w:tc>
          <w:tcPr>
            <w:tcW w:type="dxa" w:w="3528"/>
            <w:vAlign w:val="top"/>
            <w:shd w:fill="E9EEF6"/>
          </w:tcPr>
          <w:p>
            <w:pPr>
              <w:jc w:val="left"/>
            </w:pPr>
            <w:r>
              <w:rPr>
                <w:rFonts w:ascii="Aptos" w:hAnsi="Aptos" w:eastAsia="PingFang SC"/>
                <w:b/>
                <w:sz w:val="17"/>
              </w:rPr>
              <w:t>What It Contributes</w:t>
            </w:r>
          </w:p>
        </w:tc>
        <w:tc>
          <w:tcPr>
            <w:tcW w:type="dxa" w:w="2448"/>
            <w:vAlign w:val="top"/>
            <w:shd w:fill="E9EEF6"/>
          </w:tcPr>
          <w:p>
            <w:pPr>
              <w:jc w:val="center"/>
            </w:pPr>
            <w:r>
              <w:rPr>
                <w:rFonts w:ascii="Aptos" w:hAnsi="Aptos" w:eastAsia="PingFang SC"/>
                <w:b/>
                <w:sz w:val="17"/>
              </w:rPr>
              <w:t>Mag7 Implication</w:t>
            </w:r>
          </w:p>
        </w:tc>
      </w:tr>
      <w:tr>
        <w:tc>
          <w:tcPr>
            <w:tcW w:type="dxa" w:w="1440"/>
            <w:vAlign w:val="top"/>
          </w:tcPr>
          <w:p>
            <w:pPr>
              <w:jc w:val="center"/>
            </w:pPr>
            <w:r>
              <w:rPr>
                <w:rFonts w:ascii="Aptos" w:hAnsi="Aptos" w:eastAsia="PingFang SC"/>
                <w:b w:val="0"/>
                <w:sz w:val="16"/>
              </w:rPr>
              <w:t>1</w:t>
            </w:r>
          </w:p>
        </w:tc>
        <w:tc>
          <w:tcPr>
            <w:tcW w:type="dxa" w:w="2088"/>
            <w:vAlign w:val="top"/>
          </w:tcPr>
          <w:p>
            <w:pPr>
              <w:jc w:val="left"/>
            </w:pPr>
            <w:r>
              <w:rPr>
                <w:rFonts w:ascii="Aptos" w:hAnsi="Aptos" w:eastAsia="PingFang SC"/>
                <w:b w:val="0"/>
                <w:sz w:val="16"/>
              </w:rPr>
              <w:t>TMT 判断：META/MSFT/GOOGL 2H26 Capex 下修依据与电力侧领先性</w:t>
            </w:r>
          </w:p>
        </w:tc>
        <w:tc>
          <w:tcPr>
            <w:tcW w:type="dxa" w:w="3528"/>
            <w:vAlign w:val="top"/>
          </w:tcPr>
          <w:p>
            <w:pPr>
              <w:jc w:val="left"/>
            </w:pPr>
            <w:r>
              <w:rPr>
                <w:rFonts w:ascii="Aptos" w:hAnsi="Aptos" w:eastAsia="PingFang SC"/>
                <w:b w:val="0"/>
                <w:sz w:val="16"/>
              </w:rPr>
              <w:t>2026 capex remains high or upward biased; power interconnection has 12-36 month lead value; FCF/ROIC pressure can still compress hyperscaler multiples.</w:t>
            </w:r>
          </w:p>
        </w:tc>
        <w:tc>
          <w:tcPr>
            <w:tcW w:type="dxa" w:w="2448"/>
            <w:vAlign w:val="top"/>
          </w:tcPr>
          <w:p>
            <w:pPr>
              <w:jc w:val="center"/>
            </w:pPr>
            <w:r>
              <w:rPr>
                <w:rFonts w:ascii="Aptos" w:hAnsi="Aptos" w:eastAsia="PingFang SC"/>
                <w:b w:val="0"/>
                <w:sz w:val="16"/>
              </w:rPr>
              <w:t>MSFT/GOOGL/META are not cutting from hard demand weakness, but their equity burden shifts to cash-flow conversion.</w:t>
            </w:r>
          </w:p>
        </w:tc>
      </w:tr>
      <w:tr>
        <w:tc>
          <w:tcPr>
            <w:tcW w:type="dxa" w:w="1440"/>
            <w:vAlign w:val="top"/>
          </w:tcPr>
          <w:p>
            <w:pPr>
              <w:jc w:val="center"/>
            </w:pPr>
            <w:r>
              <w:rPr>
                <w:rFonts w:ascii="Aptos" w:hAnsi="Aptos" w:eastAsia="PingFang SC"/>
                <w:b w:val="0"/>
                <w:sz w:val="16"/>
              </w:rPr>
              <w:t>2</w:t>
            </w:r>
          </w:p>
        </w:tc>
        <w:tc>
          <w:tcPr>
            <w:tcW w:type="dxa" w:w="2088"/>
            <w:vAlign w:val="top"/>
          </w:tcPr>
          <w:p>
            <w:pPr>
              <w:jc w:val="left"/>
            </w:pPr>
            <w:r>
              <w:rPr>
                <w:rFonts w:ascii="Aptos" w:hAnsi="Aptos" w:eastAsia="PingFang SC"/>
                <w:b w:val="0"/>
                <w:sz w:val="16"/>
              </w:rPr>
              <w:t>Big Tech 2Q26 SBC 假设调升建议</w:t>
            </w:r>
          </w:p>
        </w:tc>
        <w:tc>
          <w:tcPr>
            <w:tcW w:type="dxa" w:w="3528"/>
            <w:vAlign w:val="top"/>
          </w:tcPr>
          <w:p>
            <w:pPr>
              <w:jc w:val="left"/>
            </w:pPr>
            <w:r>
              <w:rPr>
                <w:rFonts w:ascii="Aptos" w:hAnsi="Aptos" w:eastAsia="PingFang SC"/>
                <w:b w:val="0"/>
                <w:sz w:val="16"/>
              </w:rPr>
              <w:t>AI/Infra high-end hiring and competition can lift SBC ratios, especially into 2H26 and FY27.</w:t>
            </w:r>
          </w:p>
        </w:tc>
        <w:tc>
          <w:tcPr>
            <w:tcW w:type="dxa" w:w="2448"/>
            <w:vAlign w:val="top"/>
          </w:tcPr>
          <w:p>
            <w:pPr>
              <w:jc w:val="center"/>
            </w:pPr>
            <w:r>
              <w:rPr>
                <w:rFonts w:ascii="Aptos" w:hAnsi="Aptos" w:eastAsia="PingFang SC"/>
                <w:b w:val="0"/>
                <w:sz w:val="16"/>
              </w:rPr>
              <w:t>Meta and Alphabet face visible dilution/expense pressure; Microsoft already partly framed it in guidance.</w:t>
            </w:r>
          </w:p>
        </w:tc>
      </w:tr>
      <w:tr>
        <w:tc>
          <w:tcPr>
            <w:tcW w:type="dxa" w:w="1440"/>
            <w:vAlign w:val="top"/>
          </w:tcPr>
          <w:p>
            <w:pPr>
              <w:jc w:val="center"/>
            </w:pPr>
            <w:r>
              <w:rPr>
                <w:rFonts w:ascii="Aptos" w:hAnsi="Aptos" w:eastAsia="PingFang SC"/>
                <w:b w:val="0"/>
                <w:sz w:val="16"/>
              </w:rPr>
              <w:t>3</w:t>
            </w:r>
          </w:p>
        </w:tc>
        <w:tc>
          <w:tcPr>
            <w:tcW w:type="dxa" w:w="2088"/>
            <w:vAlign w:val="top"/>
          </w:tcPr>
          <w:p>
            <w:pPr>
              <w:jc w:val="left"/>
            </w:pPr>
            <w:r>
              <w:rPr>
                <w:rFonts w:ascii="Aptos" w:hAnsi="Aptos" w:eastAsia="PingFang SC"/>
                <w:b w:val="0"/>
                <w:sz w:val="16"/>
              </w:rPr>
              <w:t>利率中枢上移下高久期 TMT 的估值脆弱性</w:t>
            </w:r>
          </w:p>
        </w:tc>
        <w:tc>
          <w:tcPr>
            <w:tcW w:type="dxa" w:w="3528"/>
            <w:vAlign w:val="top"/>
          </w:tcPr>
          <w:p>
            <w:pPr>
              <w:jc w:val="left"/>
            </w:pPr>
            <w:r>
              <w:rPr>
                <w:rFonts w:ascii="Aptos" w:hAnsi="Aptos" w:eastAsia="PingFang SC"/>
                <w:b w:val="0"/>
                <w:sz w:val="16"/>
              </w:rPr>
              <w:t>AI earnings are real, but higher long real rates and heavier capital intensity create valuation fragility.</w:t>
            </w:r>
          </w:p>
        </w:tc>
        <w:tc>
          <w:tcPr>
            <w:tcW w:type="dxa" w:w="2448"/>
            <w:vAlign w:val="top"/>
          </w:tcPr>
          <w:p>
            <w:pPr>
              <w:jc w:val="center"/>
            </w:pPr>
            <w:r>
              <w:rPr>
                <w:rFonts w:ascii="Aptos" w:hAnsi="Aptos" w:eastAsia="PingFang SC"/>
                <w:b w:val="0"/>
                <w:sz w:val="16"/>
              </w:rPr>
              <w:t>NVIDIA, MSFT, GOOGL, AMZN, and META can all grow yet lose multiple if execution is less than perfect.</w:t>
            </w:r>
          </w:p>
        </w:tc>
      </w:tr>
      <w:tr>
        <w:tc>
          <w:tcPr>
            <w:tcW w:type="dxa" w:w="1440"/>
            <w:vAlign w:val="top"/>
          </w:tcPr>
          <w:p>
            <w:pPr>
              <w:jc w:val="center"/>
            </w:pPr>
            <w:r>
              <w:rPr>
                <w:rFonts w:ascii="Aptos" w:hAnsi="Aptos" w:eastAsia="PingFang SC"/>
                <w:b w:val="0"/>
                <w:sz w:val="16"/>
              </w:rPr>
              <w:t>4</w:t>
            </w:r>
          </w:p>
        </w:tc>
        <w:tc>
          <w:tcPr>
            <w:tcW w:type="dxa" w:w="2088"/>
            <w:vAlign w:val="top"/>
          </w:tcPr>
          <w:p>
            <w:pPr>
              <w:jc w:val="left"/>
            </w:pPr>
            <w:r>
              <w:rPr>
                <w:rFonts w:ascii="Aptos" w:hAnsi="Aptos" w:eastAsia="PingFang SC"/>
                <w:b w:val="0"/>
                <w:sz w:val="16"/>
              </w:rPr>
              <w:t>2027-2028 AI 货币化与 1 万亿美元 Capex 压力测试</w:t>
            </w:r>
          </w:p>
        </w:tc>
        <w:tc>
          <w:tcPr>
            <w:tcW w:type="dxa" w:w="3528"/>
            <w:vAlign w:val="top"/>
          </w:tcPr>
          <w:p>
            <w:pPr>
              <w:jc w:val="left"/>
            </w:pPr>
            <w:r>
              <w:rPr>
                <w:rFonts w:ascii="Aptos" w:hAnsi="Aptos" w:eastAsia="PingFang SC"/>
                <w:b w:val="0"/>
                <w:sz w:val="16"/>
              </w:rPr>
              <w:t>A 1 trillion dollar capex run-rate requires much higher revenue density and exposes a depreciation wall.</w:t>
            </w:r>
          </w:p>
        </w:tc>
        <w:tc>
          <w:tcPr>
            <w:tcW w:type="dxa" w:w="2448"/>
            <w:vAlign w:val="top"/>
          </w:tcPr>
          <w:p>
            <w:pPr>
              <w:jc w:val="center"/>
            </w:pPr>
            <w:r>
              <w:rPr>
                <w:rFonts w:ascii="Aptos" w:hAnsi="Aptos" w:eastAsia="PingFang SC"/>
                <w:b w:val="0"/>
                <w:sz w:val="16"/>
              </w:rPr>
              <w:t>Cloud owners must show utilization and revenue per MW, not only larger capex.</w:t>
            </w:r>
          </w:p>
        </w:tc>
      </w:tr>
      <w:tr>
        <w:tc>
          <w:tcPr>
            <w:tcW w:type="dxa" w:w="1440"/>
            <w:vAlign w:val="top"/>
          </w:tcPr>
          <w:p>
            <w:pPr>
              <w:jc w:val="center"/>
            </w:pPr>
            <w:r>
              <w:rPr>
                <w:rFonts w:ascii="Aptos" w:hAnsi="Aptos" w:eastAsia="PingFang SC"/>
                <w:b w:val="0"/>
                <w:sz w:val="16"/>
              </w:rPr>
              <w:t>5</w:t>
            </w:r>
          </w:p>
        </w:tc>
        <w:tc>
          <w:tcPr>
            <w:tcW w:type="dxa" w:w="2088"/>
            <w:vAlign w:val="top"/>
          </w:tcPr>
          <w:p>
            <w:pPr>
              <w:jc w:val="left"/>
            </w:pPr>
            <w:r>
              <w:rPr>
                <w:rFonts w:ascii="Aptos" w:hAnsi="Aptos" w:eastAsia="PingFang SC"/>
                <w:b w:val="0"/>
                <w:sz w:val="16"/>
              </w:rPr>
              <w:t>软件变现能否修复美国云厂AI资本开支ROIC缺口</w:t>
            </w:r>
          </w:p>
        </w:tc>
        <w:tc>
          <w:tcPr>
            <w:tcW w:type="dxa" w:w="3528"/>
            <w:vAlign w:val="top"/>
          </w:tcPr>
          <w:p>
            <w:pPr>
              <w:jc w:val="left"/>
            </w:pPr>
            <w:r>
              <w:rPr>
                <w:rFonts w:ascii="Aptos" w:hAnsi="Aptos" w:eastAsia="PingFang SC"/>
                <w:b w:val="0"/>
                <w:sz w:val="16"/>
              </w:rPr>
              <w:t>Software monetization is improving, but not enough to reverse 2026 FCF pressure unless capital intensity falls.</w:t>
            </w:r>
          </w:p>
        </w:tc>
        <w:tc>
          <w:tcPr>
            <w:tcW w:type="dxa" w:w="2448"/>
            <w:vAlign w:val="top"/>
          </w:tcPr>
          <w:p>
            <w:pPr>
              <w:jc w:val="center"/>
            </w:pPr>
            <w:r>
              <w:rPr>
                <w:rFonts w:ascii="Aptos" w:hAnsi="Aptos" w:eastAsia="PingFang SC"/>
                <w:b w:val="0"/>
                <w:sz w:val="16"/>
              </w:rPr>
              <w:t>Microsoft and Google are better positioned; Meta is more indirect; Amazon still needs AWS and capex proof.</w:t>
            </w:r>
          </w:p>
        </w:tc>
      </w:tr>
      <w:tr>
        <w:tc>
          <w:tcPr>
            <w:tcW w:type="dxa" w:w="1440"/>
            <w:vAlign w:val="top"/>
          </w:tcPr>
          <w:p>
            <w:pPr>
              <w:jc w:val="center"/>
            </w:pPr>
            <w:r>
              <w:rPr>
                <w:rFonts w:ascii="Aptos" w:hAnsi="Aptos" w:eastAsia="PingFang SC"/>
                <w:b w:val="0"/>
                <w:sz w:val="16"/>
              </w:rPr>
              <w:t>6</w:t>
            </w:r>
          </w:p>
        </w:tc>
        <w:tc>
          <w:tcPr>
            <w:tcW w:type="dxa" w:w="2088"/>
            <w:vAlign w:val="top"/>
          </w:tcPr>
          <w:p>
            <w:pPr>
              <w:jc w:val="left"/>
            </w:pPr>
            <w:r>
              <w:rPr>
                <w:rFonts w:ascii="Aptos" w:hAnsi="Aptos" w:eastAsia="PingFang SC"/>
                <w:b w:val="0"/>
                <w:sz w:val="16"/>
              </w:rPr>
              <w:t>云厂AI资本开支：收入兑现是否真实</w:t>
            </w:r>
          </w:p>
        </w:tc>
        <w:tc>
          <w:tcPr>
            <w:tcW w:type="dxa" w:w="3528"/>
            <w:vAlign w:val="top"/>
          </w:tcPr>
          <w:p>
            <w:pPr>
              <w:jc w:val="left"/>
            </w:pPr>
            <w:r>
              <w:rPr>
                <w:rFonts w:ascii="Aptos" w:hAnsi="Aptos" w:eastAsia="PingFang SC"/>
                <w:b w:val="0"/>
                <w:sz w:val="16"/>
              </w:rPr>
              <w:t>AI demand must be tested through revenue conversion, ROIC, and FCF.</w:t>
            </w:r>
          </w:p>
        </w:tc>
        <w:tc>
          <w:tcPr>
            <w:tcW w:type="dxa" w:w="2448"/>
            <w:vAlign w:val="top"/>
          </w:tcPr>
          <w:p>
            <w:pPr>
              <w:jc w:val="center"/>
            </w:pPr>
            <w:r>
              <w:rPr>
                <w:rFonts w:ascii="Aptos" w:hAnsi="Aptos" w:eastAsia="PingFang SC"/>
                <w:b w:val="0"/>
                <w:sz w:val="16"/>
              </w:rPr>
              <w:t>The next era rewards capex discipline, not only capacity ownership.</w:t>
            </w:r>
          </w:p>
        </w:tc>
      </w:tr>
      <w:tr>
        <w:tc>
          <w:tcPr>
            <w:tcW w:type="dxa" w:w="1440"/>
            <w:vAlign w:val="top"/>
          </w:tcPr>
          <w:p>
            <w:pPr>
              <w:jc w:val="center"/>
            </w:pPr>
            <w:r>
              <w:rPr>
                <w:rFonts w:ascii="Aptos" w:hAnsi="Aptos" w:eastAsia="PingFang SC"/>
                <w:b w:val="0"/>
                <w:sz w:val="16"/>
              </w:rPr>
              <w:t>7</w:t>
            </w:r>
          </w:p>
        </w:tc>
        <w:tc>
          <w:tcPr>
            <w:tcW w:type="dxa" w:w="2088"/>
            <w:vAlign w:val="top"/>
          </w:tcPr>
          <w:p>
            <w:pPr>
              <w:jc w:val="left"/>
            </w:pPr>
            <w:r>
              <w:rPr>
                <w:rFonts w:ascii="Aptos" w:hAnsi="Aptos" w:eastAsia="PingFang SC"/>
                <w:b w:val="0"/>
                <w:sz w:val="16"/>
              </w:rPr>
              <w:t>AI电力成本台阶下的Mag-7估值离散度</w:t>
            </w:r>
          </w:p>
        </w:tc>
        <w:tc>
          <w:tcPr>
            <w:tcW w:type="dxa" w:w="3528"/>
            <w:vAlign w:val="top"/>
          </w:tcPr>
          <w:p>
            <w:pPr>
              <w:jc w:val="left"/>
            </w:pPr>
            <w:r>
              <w:rPr>
                <w:rFonts w:ascii="Aptos" w:hAnsi="Aptos" w:eastAsia="PingFang SC"/>
                <w:b w:val="0"/>
                <w:sz w:val="16"/>
              </w:rPr>
              <w:t>Power costs create Mag7 margin and valuation dispersion.</w:t>
            </w:r>
          </w:p>
        </w:tc>
        <w:tc>
          <w:tcPr>
            <w:tcW w:type="dxa" w:w="2448"/>
            <w:vAlign w:val="top"/>
          </w:tcPr>
          <w:p>
            <w:pPr>
              <w:jc w:val="center"/>
            </w:pPr>
            <w:r>
              <w:rPr>
                <w:rFonts w:ascii="Aptos" w:hAnsi="Aptos" w:eastAsia="PingFang SC"/>
                <w:b w:val="0"/>
                <w:sz w:val="16"/>
              </w:rPr>
              <w:t>Firms with power efficiency and monetization evidence deserve premium; those without lose leadership premium.</w:t>
            </w:r>
          </w:p>
        </w:tc>
      </w:tr>
      <w:tr>
        <w:tc>
          <w:tcPr>
            <w:tcW w:type="dxa" w:w="1440"/>
            <w:vAlign w:val="top"/>
          </w:tcPr>
          <w:p>
            <w:pPr>
              <w:jc w:val="center"/>
            </w:pPr>
            <w:r>
              <w:rPr>
                <w:rFonts w:ascii="Aptos" w:hAnsi="Aptos" w:eastAsia="PingFang SC"/>
                <w:b w:val="0"/>
                <w:sz w:val="16"/>
              </w:rPr>
              <w:t>8</w:t>
            </w:r>
          </w:p>
        </w:tc>
        <w:tc>
          <w:tcPr>
            <w:tcW w:type="dxa" w:w="2088"/>
            <w:vAlign w:val="top"/>
          </w:tcPr>
          <w:p>
            <w:pPr>
              <w:jc w:val="left"/>
            </w:pPr>
            <w:r>
              <w:rPr>
                <w:rFonts w:ascii="Aptos" w:hAnsi="Aptos" w:eastAsia="PingFang SC"/>
                <w:b w:val="0"/>
                <w:sz w:val="16"/>
              </w:rPr>
              <w:t>AI企业电力成本：物理红线触碰估值天花板</w:t>
            </w:r>
          </w:p>
        </w:tc>
        <w:tc>
          <w:tcPr>
            <w:tcW w:type="dxa" w:w="3528"/>
            <w:vAlign w:val="top"/>
          </w:tcPr>
          <w:p>
            <w:pPr>
              <w:jc w:val="left"/>
            </w:pPr>
            <w:r>
              <w:rPr>
                <w:rFonts w:ascii="Aptos" w:hAnsi="Aptos" w:eastAsia="PingFang SC"/>
                <w:b w:val="0"/>
                <w:sz w:val="16"/>
              </w:rPr>
              <w:t>Power availability, PUE, interconnection, transformers, and grid absorption enter DCF math.</w:t>
            </w:r>
          </w:p>
        </w:tc>
        <w:tc>
          <w:tcPr>
            <w:tcW w:type="dxa" w:w="2448"/>
            <w:vAlign w:val="top"/>
          </w:tcPr>
          <w:p>
            <w:pPr>
              <w:jc w:val="center"/>
            </w:pPr>
            <w:r>
              <w:rPr>
                <w:rFonts w:ascii="Aptos" w:hAnsi="Aptos" w:eastAsia="PingFang SC"/>
                <w:b w:val="0"/>
                <w:sz w:val="16"/>
              </w:rPr>
              <w:t>Cloud AI winners are constrained by physical infrastructure, not only models.</w:t>
            </w:r>
          </w:p>
        </w:tc>
      </w:tr>
      <w:tr>
        <w:tc>
          <w:tcPr>
            <w:tcW w:type="dxa" w:w="1440"/>
            <w:vAlign w:val="top"/>
          </w:tcPr>
          <w:p>
            <w:pPr>
              <w:jc w:val="center"/>
            </w:pPr>
            <w:r>
              <w:rPr>
                <w:rFonts w:ascii="Aptos" w:hAnsi="Aptos" w:eastAsia="PingFang SC"/>
                <w:b w:val="0"/>
                <w:sz w:val="16"/>
              </w:rPr>
              <w:t>9</w:t>
            </w:r>
          </w:p>
        </w:tc>
        <w:tc>
          <w:tcPr>
            <w:tcW w:type="dxa" w:w="2088"/>
            <w:vAlign w:val="top"/>
          </w:tcPr>
          <w:p>
            <w:pPr>
              <w:jc w:val="left"/>
            </w:pPr>
            <w:r>
              <w:rPr>
                <w:rFonts w:ascii="Aptos" w:hAnsi="Aptos" w:eastAsia="PingFang SC"/>
                <w:b w:val="0"/>
                <w:sz w:val="16"/>
              </w:rPr>
              <w:t>CSP ASIC 与 NVIDIA 利润率拐点</w:t>
            </w:r>
          </w:p>
        </w:tc>
        <w:tc>
          <w:tcPr>
            <w:tcW w:type="dxa" w:w="3528"/>
            <w:vAlign w:val="top"/>
          </w:tcPr>
          <w:p>
            <w:pPr>
              <w:jc w:val="left"/>
            </w:pPr>
            <w:r>
              <w:rPr>
                <w:rFonts w:ascii="Aptos" w:hAnsi="Aptos" w:eastAsia="PingFang SC"/>
                <w:b w:val="0"/>
                <w:sz w:val="16"/>
              </w:rPr>
              <w:t>Custom ASIC scale can reduce the marginal elasticity of the GPU chain.</w:t>
            </w:r>
          </w:p>
        </w:tc>
        <w:tc>
          <w:tcPr>
            <w:tcW w:type="dxa" w:w="2448"/>
            <w:vAlign w:val="top"/>
          </w:tcPr>
          <w:p>
            <w:pPr>
              <w:jc w:val="center"/>
            </w:pPr>
            <w:r>
              <w:rPr>
                <w:rFonts w:ascii="Aptos" w:hAnsi="Aptos" w:eastAsia="PingFang SC"/>
                <w:b w:val="0"/>
                <w:sz w:val="16"/>
              </w:rPr>
              <w:t>NVIDIA's risk is scarcity-premium compression, not immediate demand collapse.</w:t>
            </w:r>
          </w:p>
        </w:tc>
      </w:tr>
      <w:tr>
        <w:tc>
          <w:tcPr>
            <w:tcW w:type="dxa" w:w="1440"/>
            <w:vAlign w:val="top"/>
          </w:tcPr>
          <w:p>
            <w:pPr>
              <w:jc w:val="center"/>
            </w:pPr>
            <w:r>
              <w:rPr>
                <w:rFonts w:ascii="Aptos" w:hAnsi="Aptos" w:eastAsia="PingFang SC"/>
                <w:b w:val="0"/>
                <w:sz w:val="16"/>
              </w:rPr>
              <w:t>10</w:t>
            </w:r>
          </w:p>
        </w:tc>
        <w:tc>
          <w:tcPr>
            <w:tcW w:type="dxa" w:w="2088"/>
            <w:vAlign w:val="top"/>
          </w:tcPr>
          <w:p>
            <w:pPr>
              <w:jc w:val="left"/>
            </w:pPr>
            <w:r>
              <w:rPr>
                <w:rFonts w:ascii="Aptos" w:hAnsi="Aptos" w:eastAsia="PingFang SC"/>
                <w:b w:val="0"/>
                <w:sz w:val="16"/>
              </w:rPr>
              <w:t>GPU 迭代周期与折旧悬崖</w:t>
            </w:r>
          </w:p>
        </w:tc>
        <w:tc>
          <w:tcPr>
            <w:tcW w:type="dxa" w:w="3528"/>
            <w:vAlign w:val="top"/>
          </w:tcPr>
          <w:p>
            <w:pPr>
              <w:jc w:val="left"/>
            </w:pPr>
            <w:r>
              <w:rPr>
                <w:rFonts w:ascii="Aptos" w:hAnsi="Aptos" w:eastAsia="PingFang SC"/>
                <w:b w:val="0"/>
                <w:sz w:val="16"/>
              </w:rPr>
              <w:t>Hardware generations shorten economic life and can widen the gap between accounting depreciation and real ROIC.</w:t>
            </w:r>
          </w:p>
        </w:tc>
        <w:tc>
          <w:tcPr>
            <w:tcW w:type="dxa" w:w="2448"/>
            <w:vAlign w:val="top"/>
          </w:tcPr>
          <w:p>
            <w:pPr>
              <w:jc w:val="center"/>
            </w:pPr>
            <w:r>
              <w:rPr>
                <w:rFonts w:ascii="Aptos" w:hAnsi="Aptos" w:eastAsia="PingFang SC"/>
                <w:b w:val="0"/>
                <w:sz w:val="16"/>
              </w:rPr>
              <w:t>Cloud owners face a depreciation-wall test; Amazon is especially sensitive to server-life assumptions.</w:t>
            </w:r>
          </w:p>
        </w:tc>
      </w:tr>
      <w:tr>
        <w:tc>
          <w:tcPr>
            <w:tcW w:type="dxa" w:w="1440"/>
            <w:vAlign w:val="top"/>
          </w:tcPr>
          <w:p>
            <w:pPr>
              <w:jc w:val="center"/>
            </w:pPr>
            <w:r>
              <w:rPr>
                <w:rFonts w:ascii="Aptos" w:hAnsi="Aptos" w:eastAsia="PingFang SC"/>
                <w:b w:val="0"/>
                <w:sz w:val="16"/>
              </w:rPr>
              <w:t>11</w:t>
            </w:r>
          </w:p>
        </w:tc>
        <w:tc>
          <w:tcPr>
            <w:tcW w:type="dxa" w:w="2088"/>
            <w:vAlign w:val="top"/>
          </w:tcPr>
          <w:p>
            <w:pPr>
              <w:jc w:val="left"/>
            </w:pPr>
            <w:r>
              <w:rPr>
                <w:rFonts w:ascii="Aptos" w:hAnsi="Aptos" w:eastAsia="PingFang SC"/>
                <w:b w:val="0"/>
                <w:sz w:val="16"/>
              </w:rPr>
              <w:t>能效是第一座“电厂”</w:t>
            </w:r>
          </w:p>
        </w:tc>
        <w:tc>
          <w:tcPr>
            <w:tcW w:type="dxa" w:w="3528"/>
            <w:vAlign w:val="top"/>
          </w:tcPr>
          <w:p>
            <w:pPr>
              <w:jc w:val="left"/>
            </w:pPr>
            <w:r>
              <w:rPr>
                <w:rFonts w:ascii="Aptos" w:hAnsi="Aptos" w:eastAsia="PingFang SC"/>
                <w:b w:val="0"/>
                <w:sz w:val="16"/>
              </w:rPr>
              <w:t>Blackwell, Ironwood TPU, liquid cooling, and PUE gains shift the battle to energy efficiency.</w:t>
            </w:r>
          </w:p>
        </w:tc>
        <w:tc>
          <w:tcPr>
            <w:tcW w:type="dxa" w:w="2448"/>
            <w:vAlign w:val="top"/>
          </w:tcPr>
          <w:p>
            <w:pPr>
              <w:jc w:val="center"/>
            </w:pPr>
            <w:r>
              <w:rPr>
                <w:rFonts w:ascii="Aptos" w:hAnsi="Aptos" w:eastAsia="PingFang SC"/>
                <w:b w:val="0"/>
                <w:sz w:val="16"/>
              </w:rPr>
              <w:t>Alphabet and Microsoft gain support from efficiency evidence; NVIDIA must prove efficiency does not destroy pricing.</w:t>
            </w:r>
          </w:p>
        </w:tc>
      </w:tr>
      <w:tr>
        <w:tc>
          <w:tcPr>
            <w:tcW w:type="dxa" w:w="1440"/>
            <w:vAlign w:val="top"/>
          </w:tcPr>
          <w:p>
            <w:pPr>
              <w:jc w:val="center"/>
            </w:pPr>
            <w:r>
              <w:rPr>
                <w:rFonts w:ascii="Aptos" w:hAnsi="Aptos" w:eastAsia="PingFang SC"/>
                <w:b w:val="0"/>
                <w:sz w:val="16"/>
              </w:rPr>
              <w:t>12</w:t>
            </w:r>
          </w:p>
        </w:tc>
        <w:tc>
          <w:tcPr>
            <w:tcW w:type="dxa" w:w="2088"/>
            <w:vAlign w:val="top"/>
          </w:tcPr>
          <w:p>
            <w:pPr>
              <w:jc w:val="left"/>
            </w:pPr>
            <w:r>
              <w:rPr>
                <w:rFonts w:ascii="Aptos" w:hAnsi="Aptos" w:eastAsia="PingFang SC"/>
                <w:b w:val="0"/>
                <w:sz w:val="16"/>
              </w:rPr>
              <w:t>云厂商对AI电力缺口的选址与算力架构应对</w:t>
            </w:r>
          </w:p>
        </w:tc>
        <w:tc>
          <w:tcPr>
            <w:tcW w:type="dxa" w:w="3528"/>
            <w:vAlign w:val="top"/>
          </w:tcPr>
          <w:p>
            <w:pPr>
              <w:jc w:val="left"/>
            </w:pPr>
            <w:r>
              <w:rPr>
                <w:rFonts w:ascii="Aptos" w:hAnsi="Aptos" w:eastAsia="PingFang SC"/>
                <w:b w:val="0"/>
                <w:sz w:val="16"/>
              </w:rPr>
              <w:t>Site selection, power access, nuclear/firm power, and architecture become strategic inputs.</w:t>
            </w:r>
          </w:p>
        </w:tc>
        <w:tc>
          <w:tcPr>
            <w:tcW w:type="dxa" w:w="2448"/>
            <w:vAlign w:val="top"/>
          </w:tcPr>
          <w:p>
            <w:pPr>
              <w:jc w:val="center"/>
            </w:pPr>
            <w:r>
              <w:rPr>
                <w:rFonts w:ascii="Aptos" w:hAnsi="Aptos" w:eastAsia="PingFang SC"/>
                <w:b w:val="0"/>
                <w:sz w:val="16"/>
              </w:rPr>
              <w:t>The winning Mag7 names are those that solve power and architecture, not only model marketing.</w:t>
            </w:r>
          </w:p>
        </w:tc>
      </w:tr>
      <w:tr>
        <w:tc>
          <w:tcPr>
            <w:tcW w:type="dxa" w:w="1440"/>
            <w:vAlign w:val="top"/>
          </w:tcPr>
          <w:p>
            <w:pPr>
              <w:jc w:val="center"/>
            </w:pPr>
            <w:r>
              <w:rPr>
                <w:rFonts w:ascii="Aptos" w:hAnsi="Aptos" w:eastAsia="PingFang SC"/>
                <w:b w:val="0"/>
                <w:sz w:val="16"/>
              </w:rPr>
              <w:t>13</w:t>
            </w:r>
          </w:p>
        </w:tc>
        <w:tc>
          <w:tcPr>
            <w:tcW w:type="dxa" w:w="2088"/>
            <w:vAlign w:val="top"/>
          </w:tcPr>
          <w:p>
            <w:pPr>
              <w:jc w:val="left"/>
            </w:pPr>
            <w:r>
              <w:rPr>
                <w:rFonts w:ascii="Aptos" w:hAnsi="Aptos" w:eastAsia="PingFang SC"/>
                <w:b w:val="0"/>
                <w:sz w:val="16"/>
              </w:rPr>
              <w:t>AI 商业化、推理经济性与供应链订单</w:t>
            </w:r>
          </w:p>
        </w:tc>
        <w:tc>
          <w:tcPr>
            <w:tcW w:type="dxa" w:w="3528"/>
            <w:vAlign w:val="top"/>
          </w:tcPr>
          <w:p>
            <w:pPr>
              <w:jc w:val="left"/>
            </w:pPr>
            <w:r>
              <w:rPr>
                <w:rFonts w:ascii="Aptos" w:hAnsi="Aptos" w:eastAsia="PingFang SC"/>
                <w:b w:val="0"/>
                <w:sz w:val="16"/>
              </w:rPr>
              <w:t>Capex only becomes equity value when inference revenue density, utilization, and unit cost improve together.</w:t>
            </w:r>
          </w:p>
        </w:tc>
        <w:tc>
          <w:tcPr>
            <w:tcW w:type="dxa" w:w="2448"/>
            <w:vAlign w:val="top"/>
          </w:tcPr>
          <w:p>
            <w:pPr>
              <w:jc w:val="center"/>
            </w:pPr>
            <w:r>
              <w:rPr>
                <w:rFonts w:ascii="Aptos" w:hAnsi="Aptos" w:eastAsia="PingFang SC"/>
                <w:b w:val="0"/>
                <w:sz w:val="16"/>
              </w:rPr>
              <w:t>This is the core bridge separating Microsoft/Alphabet from weaker AI narratives.</w:t>
            </w:r>
          </w:p>
        </w:tc>
      </w:tr>
      <w:tr>
        <w:tc>
          <w:tcPr>
            <w:tcW w:type="dxa" w:w="1440"/>
            <w:vAlign w:val="top"/>
          </w:tcPr>
          <w:p>
            <w:pPr>
              <w:jc w:val="center"/>
            </w:pPr>
            <w:r>
              <w:rPr>
                <w:rFonts w:ascii="Aptos" w:hAnsi="Aptos" w:eastAsia="PingFang SC"/>
                <w:b w:val="0"/>
                <w:sz w:val="16"/>
              </w:rPr>
              <w:t>14</w:t>
            </w:r>
          </w:p>
        </w:tc>
        <w:tc>
          <w:tcPr>
            <w:tcW w:type="dxa" w:w="2088"/>
            <w:vAlign w:val="top"/>
          </w:tcPr>
          <w:p>
            <w:pPr>
              <w:jc w:val="left"/>
            </w:pPr>
            <w:r>
              <w:rPr>
                <w:rFonts w:ascii="Aptos" w:hAnsi="Aptos" w:eastAsia="PingFang SC"/>
                <w:b w:val="0"/>
                <w:sz w:val="16"/>
              </w:rPr>
              <w:t>NVDA Q1 FY27 作为 Capex 表</w:t>
            </w:r>
          </w:p>
        </w:tc>
        <w:tc>
          <w:tcPr>
            <w:tcW w:type="dxa" w:w="3528"/>
            <w:vAlign w:val="top"/>
          </w:tcPr>
          <w:p>
            <w:pPr>
              <w:jc w:val="left"/>
            </w:pPr>
            <w:r>
              <w:rPr>
                <w:rFonts w:ascii="Aptos" w:hAnsi="Aptos" w:eastAsia="PingFang SC"/>
                <w:b w:val="0"/>
                <w:sz w:val="16"/>
              </w:rPr>
              <w:t>NVDA data-center revenue confirms AI capex, but cash also shifts to CoWoS/HBM, networking, and server ODMs.</w:t>
            </w:r>
          </w:p>
        </w:tc>
        <w:tc>
          <w:tcPr>
            <w:tcW w:type="dxa" w:w="2448"/>
            <w:vAlign w:val="top"/>
          </w:tcPr>
          <w:p>
            <w:pPr>
              <w:jc w:val="center"/>
            </w:pPr>
            <w:r>
              <w:rPr>
                <w:rFonts w:ascii="Aptos" w:hAnsi="Aptos" w:eastAsia="PingFang SC"/>
                <w:b w:val="0"/>
                <w:sz w:val="16"/>
              </w:rPr>
              <w:t>The pure NVDA equity story can diverge from the broader AI hardware profit pool.</w:t>
            </w:r>
          </w:p>
        </w:tc>
      </w:tr>
      <w:tr>
        <w:tc>
          <w:tcPr>
            <w:tcW w:type="dxa" w:w="1440"/>
            <w:vAlign w:val="top"/>
          </w:tcPr>
          <w:p>
            <w:pPr>
              <w:jc w:val="center"/>
            </w:pPr>
            <w:r>
              <w:rPr>
                <w:rFonts w:ascii="Aptos" w:hAnsi="Aptos" w:eastAsia="PingFang SC"/>
                <w:b w:val="0"/>
                <w:sz w:val="16"/>
              </w:rPr>
              <w:t>15</w:t>
            </w:r>
          </w:p>
        </w:tc>
        <w:tc>
          <w:tcPr>
            <w:tcW w:type="dxa" w:w="2088"/>
            <w:vAlign w:val="top"/>
          </w:tcPr>
          <w:p>
            <w:pPr>
              <w:jc w:val="left"/>
            </w:pPr>
            <w:r>
              <w:rPr>
                <w:rFonts w:ascii="Aptos" w:hAnsi="Aptos" w:eastAsia="PingFang SC"/>
                <w:b w:val="0"/>
                <w:sz w:val="16"/>
              </w:rPr>
              <w:t>Weekend viral-market note, 2026-05-16 to 2026-05-22</w:t>
            </w:r>
          </w:p>
        </w:tc>
        <w:tc>
          <w:tcPr>
            <w:tcW w:type="dxa" w:w="3528"/>
            <w:vAlign w:val="top"/>
          </w:tcPr>
          <w:p>
            <w:pPr>
              <w:jc w:val="left"/>
            </w:pPr>
            <w:r>
              <w:rPr>
                <w:rFonts w:ascii="Aptos" w:hAnsi="Aptos" w:eastAsia="PingFang SC"/>
                <w:b w:val="0"/>
                <w:sz w:val="16"/>
              </w:rPr>
              <w:t>The tape is selective technology crowding, not broad retail chase. Memorial Day closes U.S. cash equities on 2026-05-25, so the tactical reaction window is 2026-05-26.</w:t>
            </w:r>
          </w:p>
        </w:tc>
        <w:tc>
          <w:tcPr>
            <w:tcW w:type="dxa" w:w="2448"/>
            <w:vAlign w:val="top"/>
          </w:tcPr>
          <w:p>
            <w:pPr>
              <w:jc w:val="center"/>
            </w:pPr>
            <w:r>
              <w:rPr>
                <w:rFonts w:ascii="Aptos" w:hAnsi="Aptos" w:eastAsia="PingFang SC"/>
                <w:b w:val="0"/>
                <w:sz w:val="16"/>
              </w:rPr>
              <w:t>Treat the viral weekend as a flow and positioning overlay, not as a replacement for the strategic Mag7 ranking.</w:t>
            </w:r>
          </w:p>
        </w:tc>
      </w:tr>
      <w:tr>
        <w:tc>
          <w:tcPr>
            <w:tcW w:type="dxa" w:w="1440"/>
            <w:vAlign w:val="top"/>
          </w:tcPr>
          <w:p>
            <w:pPr>
              <w:jc w:val="center"/>
            </w:pPr>
            <w:r>
              <w:rPr>
                <w:rFonts w:ascii="Aptos" w:hAnsi="Aptos" w:eastAsia="PingFang SC"/>
                <w:b w:val="0"/>
                <w:sz w:val="16"/>
              </w:rPr>
              <w:t>16</w:t>
            </w:r>
          </w:p>
        </w:tc>
        <w:tc>
          <w:tcPr>
            <w:tcW w:type="dxa" w:w="2088"/>
            <w:vAlign w:val="top"/>
          </w:tcPr>
          <w:p>
            <w:pPr>
              <w:jc w:val="left"/>
            </w:pPr>
            <w:r>
              <w:rPr>
                <w:rFonts w:ascii="Aptos" w:hAnsi="Aptos" w:eastAsia="PingFang SC"/>
                <w:b w:val="0"/>
                <w:sz w:val="16"/>
              </w:rPr>
              <w:t>Amsflow U.S. Fear &amp; Greed</w:t>
            </w:r>
          </w:p>
        </w:tc>
        <w:tc>
          <w:tcPr>
            <w:tcW w:type="dxa" w:w="3528"/>
            <w:vAlign w:val="top"/>
          </w:tcPr>
          <w:p>
            <w:pPr>
              <w:jc w:val="left"/>
            </w:pPr>
            <w:r>
              <w:rPr>
                <w:rFonts w:ascii="Aptos" w:hAnsi="Aptos" w:eastAsia="PingFang SC"/>
                <w:b w:val="0"/>
                <w:sz w:val="16"/>
              </w:rPr>
              <w:t>Sentiment moved down from extreme greed into greed during the window.</w:t>
            </w:r>
          </w:p>
        </w:tc>
        <w:tc>
          <w:tcPr>
            <w:tcW w:type="dxa" w:w="2448"/>
            <w:vAlign w:val="top"/>
          </w:tcPr>
          <w:p>
            <w:pPr>
              <w:jc w:val="center"/>
            </w:pPr>
            <w:r>
              <w:rPr>
                <w:rFonts w:ascii="Aptos" w:hAnsi="Aptos" w:eastAsia="PingFang SC"/>
                <w:b w:val="0"/>
                <w:sz w:val="16"/>
              </w:rPr>
              <w:t>Supports a selective-risk-taking frame: investors are still willing to buy AI, but they are no longer paying for every duration story.</w:t>
            </w:r>
          </w:p>
        </w:tc>
      </w:tr>
      <w:tr>
        <w:tc>
          <w:tcPr>
            <w:tcW w:type="dxa" w:w="1440"/>
            <w:vAlign w:val="top"/>
          </w:tcPr>
          <w:p>
            <w:pPr>
              <w:jc w:val="center"/>
            </w:pPr>
            <w:r>
              <w:rPr>
                <w:rFonts w:ascii="Aptos" w:hAnsi="Aptos" w:eastAsia="PingFang SC"/>
                <w:b w:val="0"/>
                <w:sz w:val="16"/>
              </w:rPr>
              <w:t>17</w:t>
            </w:r>
          </w:p>
        </w:tc>
        <w:tc>
          <w:tcPr>
            <w:tcW w:type="dxa" w:w="2088"/>
            <w:vAlign w:val="top"/>
          </w:tcPr>
          <w:p>
            <w:pPr>
              <w:jc w:val="left"/>
            </w:pPr>
            <w:r>
              <w:rPr>
                <w:rFonts w:ascii="Aptos" w:hAnsi="Aptos" w:eastAsia="PingFang SC"/>
                <w:b w:val="0"/>
                <w:sz w:val="16"/>
              </w:rPr>
              <w:t>Reuters/LSEG Lipper fund flows</w:t>
            </w:r>
          </w:p>
        </w:tc>
        <w:tc>
          <w:tcPr>
            <w:tcW w:type="dxa" w:w="3528"/>
            <w:vAlign w:val="top"/>
          </w:tcPr>
          <w:p>
            <w:pPr>
              <w:jc w:val="left"/>
            </w:pPr>
            <w:r>
              <w:rPr>
                <w:rFonts w:ascii="Aptos" w:hAnsi="Aptos" w:eastAsia="PingFang SC"/>
                <w:b w:val="0"/>
                <w:sz w:val="16"/>
              </w:rPr>
              <w:t>U.S. equity funds saw outflows while technology funds and money-market funds saw inflows.</w:t>
            </w:r>
          </w:p>
        </w:tc>
        <w:tc>
          <w:tcPr>
            <w:tcW w:type="dxa" w:w="2448"/>
            <w:vAlign w:val="top"/>
          </w:tcPr>
          <w:p>
            <w:pPr>
              <w:jc w:val="center"/>
            </w:pPr>
            <w:r>
              <w:rPr>
                <w:rFonts w:ascii="Aptos" w:hAnsi="Aptos" w:eastAsia="PingFang SC"/>
                <w:b w:val="0"/>
                <w:sz w:val="16"/>
              </w:rPr>
              <w:t>Confirms the contradiction: cash is defensive at the aggregate level, but AI/technology remains a crowded single-point bid.</w:t>
            </w:r>
          </w:p>
        </w:tc>
      </w:tr>
      <w:tr>
        <w:tc>
          <w:tcPr>
            <w:tcW w:type="dxa" w:w="1440"/>
            <w:vAlign w:val="top"/>
          </w:tcPr>
          <w:p>
            <w:pPr>
              <w:jc w:val="center"/>
            </w:pPr>
            <w:r>
              <w:rPr>
                <w:rFonts w:ascii="Aptos" w:hAnsi="Aptos" w:eastAsia="PingFang SC"/>
                <w:b w:val="0"/>
                <w:sz w:val="16"/>
              </w:rPr>
              <w:t>18</w:t>
            </w:r>
          </w:p>
        </w:tc>
        <w:tc>
          <w:tcPr>
            <w:tcW w:type="dxa" w:w="2088"/>
            <w:vAlign w:val="top"/>
          </w:tcPr>
          <w:p>
            <w:pPr>
              <w:jc w:val="left"/>
            </w:pPr>
            <w:r>
              <w:rPr>
                <w:rFonts w:ascii="Aptos" w:hAnsi="Aptos" w:eastAsia="PingFang SC"/>
                <w:b w:val="0"/>
                <w:sz w:val="16"/>
              </w:rPr>
              <w:t>NVDA price history and Q1 FY2027 release</w:t>
            </w:r>
          </w:p>
        </w:tc>
        <w:tc>
          <w:tcPr>
            <w:tcW w:type="dxa" w:w="3528"/>
            <w:vAlign w:val="top"/>
          </w:tcPr>
          <w:p>
            <w:pPr>
              <w:jc w:val="left"/>
            </w:pPr>
            <w:r>
              <w:rPr>
                <w:rFonts w:ascii="Aptos" w:hAnsi="Aptos" w:eastAsia="PingFang SC"/>
                <w:b w:val="0"/>
                <w:sz w:val="16"/>
              </w:rPr>
              <w:t>Record revenue and data-center revenue did not stop NVDA from falling over the week.</w:t>
            </w:r>
          </w:p>
        </w:tc>
        <w:tc>
          <w:tcPr>
            <w:tcW w:type="dxa" w:w="2448"/>
            <w:vAlign w:val="top"/>
          </w:tcPr>
          <w:p>
            <w:pPr>
              <w:jc w:val="center"/>
            </w:pPr>
            <w:r>
              <w:rPr>
                <w:rFonts w:ascii="Aptos" w:hAnsi="Aptos" w:eastAsia="PingFang SC"/>
                <w:b w:val="0"/>
                <w:sz w:val="16"/>
              </w:rPr>
              <w:t>Strengthens the "multiple loser, not fundamental loser" classification.</w:t>
            </w:r>
          </w:p>
        </w:tc>
      </w:tr>
      <w:tr>
        <w:tc>
          <w:tcPr>
            <w:tcW w:type="dxa" w:w="1440"/>
            <w:vAlign w:val="top"/>
          </w:tcPr>
          <w:p>
            <w:pPr>
              <w:jc w:val="center"/>
            </w:pPr>
            <w:r>
              <w:rPr>
                <w:rFonts w:ascii="Aptos" w:hAnsi="Aptos" w:eastAsia="PingFang SC"/>
                <w:b w:val="0"/>
                <w:sz w:val="16"/>
              </w:rPr>
              <w:t>19</w:t>
            </w:r>
          </w:p>
        </w:tc>
        <w:tc>
          <w:tcPr>
            <w:tcW w:type="dxa" w:w="2088"/>
            <w:vAlign w:val="top"/>
          </w:tcPr>
          <w:p>
            <w:pPr>
              <w:jc w:val="left"/>
            </w:pPr>
            <w:r>
              <w:rPr>
                <w:rFonts w:ascii="Aptos" w:hAnsi="Aptos" w:eastAsia="PingFang SC"/>
                <w:b w:val="0"/>
                <w:sz w:val="16"/>
              </w:rPr>
              <w:t>NVIDIA guidance and China compute caveat</w:t>
            </w:r>
          </w:p>
        </w:tc>
        <w:tc>
          <w:tcPr>
            <w:tcW w:type="dxa" w:w="3528"/>
            <w:vAlign w:val="top"/>
          </w:tcPr>
          <w:p>
            <w:pPr>
              <w:jc w:val="left"/>
            </w:pPr>
            <w:r>
              <w:rPr>
                <w:rFonts w:ascii="Aptos" w:hAnsi="Aptos" w:eastAsia="PingFang SC"/>
                <w:b w:val="0"/>
                <w:sz w:val="16"/>
              </w:rPr>
              <w:t>Q2 revenue guide is very high, but the guide excludes China data-center compute revenue.</w:t>
            </w:r>
          </w:p>
        </w:tc>
        <w:tc>
          <w:tcPr>
            <w:tcW w:type="dxa" w:w="2448"/>
            <w:vAlign w:val="top"/>
          </w:tcPr>
          <w:p>
            <w:pPr>
              <w:jc w:val="center"/>
            </w:pPr>
            <w:r>
              <w:rPr>
                <w:rFonts w:ascii="Aptos" w:hAnsi="Aptos" w:eastAsia="PingFang SC"/>
                <w:b w:val="0"/>
                <w:sz w:val="16"/>
              </w:rPr>
              <w:t>Explains why strong earnings can coexist with lower multiple: investors must price geopolitics and concentration risk.</w:t>
            </w:r>
          </w:p>
        </w:tc>
      </w:tr>
      <w:tr>
        <w:tc>
          <w:tcPr>
            <w:tcW w:type="dxa" w:w="1440"/>
            <w:vAlign w:val="top"/>
          </w:tcPr>
          <w:p>
            <w:pPr>
              <w:jc w:val="center"/>
            </w:pPr>
            <w:r>
              <w:rPr>
                <w:rFonts w:ascii="Aptos" w:hAnsi="Aptos" w:eastAsia="PingFang SC"/>
                <w:b w:val="0"/>
                <w:sz w:val="16"/>
              </w:rPr>
              <w:t>20</w:t>
            </w:r>
          </w:p>
        </w:tc>
        <w:tc>
          <w:tcPr>
            <w:tcW w:type="dxa" w:w="2088"/>
            <w:vAlign w:val="top"/>
          </w:tcPr>
          <w:p>
            <w:pPr>
              <w:jc w:val="left"/>
            </w:pPr>
            <w:r>
              <w:rPr>
                <w:rFonts w:ascii="Aptos" w:hAnsi="Aptos" w:eastAsia="PingFang SC"/>
                <w:b w:val="0"/>
                <w:sz w:val="16"/>
              </w:rPr>
              <w:t>MU/HBM tape and Micron investor materials</w:t>
            </w:r>
          </w:p>
        </w:tc>
        <w:tc>
          <w:tcPr>
            <w:tcW w:type="dxa" w:w="3528"/>
            <w:vAlign w:val="top"/>
          </w:tcPr>
          <w:p>
            <w:pPr>
              <w:jc w:val="left"/>
            </w:pPr>
            <w:r>
              <w:rPr>
                <w:rFonts w:ascii="Aptos" w:hAnsi="Aptos" w:eastAsia="PingFang SC"/>
                <w:b w:val="0"/>
                <w:sz w:val="16"/>
              </w:rPr>
              <w:t>Memory became the easiest retail simplification of AI infrastructure: "AI needs memory."</w:t>
            </w:r>
          </w:p>
        </w:tc>
        <w:tc>
          <w:tcPr>
            <w:tcW w:type="dxa" w:w="2448"/>
            <w:vAlign w:val="top"/>
          </w:tcPr>
          <w:p>
            <w:pPr>
              <w:jc w:val="center"/>
            </w:pPr>
            <w:r>
              <w:rPr>
                <w:rFonts w:ascii="Aptos" w:hAnsi="Aptos" w:eastAsia="PingFang SC"/>
                <w:b w:val="0"/>
                <w:sz w:val="16"/>
              </w:rPr>
              <w:t>Reinforces the profit-pool rotation from GPU scarcity to HBM/DRAM, packaging, networking, and power.</w:t>
            </w:r>
          </w:p>
        </w:tc>
      </w:tr>
      <w:tr>
        <w:tc>
          <w:tcPr>
            <w:tcW w:type="dxa" w:w="1440"/>
            <w:vAlign w:val="top"/>
          </w:tcPr>
          <w:p>
            <w:pPr>
              <w:jc w:val="center"/>
            </w:pPr>
            <w:r>
              <w:rPr>
                <w:rFonts w:ascii="Aptos" w:hAnsi="Aptos" w:eastAsia="PingFang SC"/>
                <w:b w:val="0"/>
                <w:sz w:val="16"/>
              </w:rPr>
              <w:t>21</w:t>
            </w:r>
          </w:p>
        </w:tc>
        <w:tc>
          <w:tcPr>
            <w:tcW w:type="dxa" w:w="2088"/>
            <w:vAlign w:val="top"/>
          </w:tcPr>
          <w:p>
            <w:pPr>
              <w:jc w:val="left"/>
            </w:pPr>
            <w:r>
              <w:rPr>
                <w:rFonts w:ascii="Aptos" w:hAnsi="Aptos" w:eastAsia="PingFang SC"/>
                <w:b w:val="0"/>
                <w:sz w:val="16"/>
              </w:rPr>
              <w:t>ASTS price history and FCC authorization reporting</w:t>
            </w:r>
          </w:p>
        </w:tc>
        <w:tc>
          <w:tcPr>
            <w:tcW w:type="dxa" w:w="3528"/>
            <w:vAlign w:val="top"/>
          </w:tcPr>
          <w:p>
            <w:pPr>
              <w:jc w:val="left"/>
            </w:pPr>
            <w:r>
              <w:rPr>
                <w:rFonts w:ascii="Aptos" w:hAnsi="Aptos" w:eastAsia="PingFang SC"/>
                <w:b w:val="0"/>
                <w:sz w:val="16"/>
              </w:rPr>
              <w:t>Satellite direct-to-device became a high-beta weekend liquidity event, but authorization is not yet revenue.</w:t>
            </w:r>
          </w:p>
        </w:tc>
        <w:tc>
          <w:tcPr>
            <w:tcW w:type="dxa" w:w="2448"/>
            <w:vAlign w:val="top"/>
          </w:tcPr>
          <w:p>
            <w:pPr>
              <w:jc w:val="center"/>
            </w:pPr>
            <w:r>
              <w:rPr>
                <w:rFonts w:ascii="Aptos" w:hAnsi="Aptos" w:eastAsia="PingFang SC"/>
                <w:b w:val="0"/>
                <w:sz w:val="16"/>
              </w:rPr>
              <w:t>Shows that attention can migrate away from Mag7 into option-like infrastructure stories.</w:t>
            </w:r>
          </w:p>
        </w:tc>
      </w:tr>
      <w:tr>
        <w:tc>
          <w:tcPr>
            <w:tcW w:type="dxa" w:w="1440"/>
            <w:vAlign w:val="top"/>
          </w:tcPr>
          <w:p>
            <w:pPr>
              <w:jc w:val="center"/>
            </w:pPr>
            <w:r>
              <w:rPr>
                <w:rFonts w:ascii="Aptos" w:hAnsi="Aptos" w:eastAsia="PingFang SC"/>
                <w:b w:val="0"/>
                <w:sz w:val="16"/>
              </w:rPr>
              <w:t>22</w:t>
            </w:r>
          </w:p>
        </w:tc>
        <w:tc>
          <w:tcPr>
            <w:tcW w:type="dxa" w:w="2088"/>
            <w:vAlign w:val="top"/>
          </w:tcPr>
          <w:p>
            <w:pPr>
              <w:jc w:val="left"/>
            </w:pPr>
            <w:r>
              <w:rPr>
                <w:rFonts w:ascii="Aptos" w:hAnsi="Aptos" w:eastAsia="PingFang SC"/>
                <w:b w:val="0"/>
                <w:sz w:val="16"/>
              </w:rPr>
              <w:t>RDDT price history</w:t>
            </w:r>
          </w:p>
        </w:tc>
        <w:tc>
          <w:tcPr>
            <w:tcW w:type="dxa" w:w="3528"/>
            <w:vAlign w:val="top"/>
          </w:tcPr>
          <w:p>
            <w:pPr>
              <w:jc w:val="left"/>
            </w:pPr>
            <w:r>
              <w:rPr>
                <w:rFonts w:ascii="Aptos" w:hAnsi="Aptos" w:eastAsia="PingFang SC"/>
                <w:b w:val="0"/>
                <w:sz w:val="16"/>
              </w:rPr>
              <w:t>RDDT sold off despite platform attention and meme-stock visibility.</w:t>
            </w:r>
          </w:p>
        </w:tc>
        <w:tc>
          <w:tcPr>
            <w:tcW w:type="dxa" w:w="2448"/>
            <w:vAlign w:val="top"/>
          </w:tcPr>
          <w:p>
            <w:pPr>
              <w:jc w:val="center"/>
            </w:pPr>
            <w:r>
              <w:rPr>
                <w:rFonts w:ascii="Aptos" w:hAnsi="Aptos" w:eastAsia="PingFang SC"/>
                <w:b w:val="0"/>
                <w:sz w:val="16"/>
              </w:rPr>
              <w:t>Prevents a mechanical interpretation of social mentions as buy pressure; useful when reading TSLA, NVDA, and Meta attention.</w:t>
            </w:r>
          </w:p>
        </w:tc>
      </w:tr>
      <w:tr>
        <w:tc>
          <w:tcPr>
            <w:tcW w:type="dxa" w:w="1440"/>
            <w:vAlign w:val="top"/>
          </w:tcPr>
          <w:p>
            <w:pPr>
              <w:jc w:val="center"/>
            </w:pPr>
            <w:r>
              <w:rPr>
                <w:rFonts w:ascii="Aptos" w:hAnsi="Aptos" w:eastAsia="PingFang SC"/>
                <w:b w:val="0"/>
                <w:sz w:val="16"/>
              </w:rPr>
              <w:t>23</w:t>
            </w:r>
          </w:p>
        </w:tc>
        <w:tc>
          <w:tcPr>
            <w:tcW w:type="dxa" w:w="2088"/>
            <w:vAlign w:val="top"/>
          </w:tcPr>
          <w:p>
            <w:pPr>
              <w:jc w:val="left"/>
            </w:pPr>
            <w:r>
              <w:rPr>
                <w:rFonts w:ascii="Aptos" w:hAnsi="Aptos" w:eastAsia="PingFang SC"/>
                <w:b w:val="0"/>
                <w:sz w:val="16"/>
              </w:rPr>
              <w:t>AltIndex and FearGreedMeter dynamic WSB/meme-stock lists</w:t>
            </w:r>
          </w:p>
        </w:tc>
        <w:tc>
          <w:tcPr>
            <w:tcW w:type="dxa" w:w="3528"/>
            <w:vAlign w:val="top"/>
          </w:tcPr>
          <w:p>
            <w:pPr>
              <w:jc w:val="left"/>
            </w:pPr>
            <w:r>
              <w:rPr>
                <w:rFonts w:ascii="Aptos" w:hAnsi="Aptos" w:eastAsia="PingFang SC"/>
                <w:b w:val="0"/>
                <w:sz w:val="16"/>
              </w:rPr>
              <w:t>NVDA, ASTS, MU, MSFT, META and other AI-linked names stay high in social-attention screens, but the lists roll quickly.</w:t>
            </w:r>
          </w:p>
        </w:tc>
        <w:tc>
          <w:tcPr>
            <w:tcW w:type="dxa" w:w="2448"/>
            <w:vAlign w:val="top"/>
          </w:tcPr>
          <w:p>
            <w:pPr>
              <w:jc w:val="center"/>
            </w:pPr>
            <w:r>
              <w:rPr>
                <w:rFonts w:ascii="Aptos" w:hAnsi="Aptos" w:eastAsia="PingFang SC"/>
                <w:b w:val="0"/>
                <w:sz w:val="16"/>
              </w:rPr>
              <w:t>Use social screens as crowding and gamma-risk signals, not as durable fundamental evidence.</w:t>
            </w:r>
          </w:p>
        </w:tc>
      </w:tr>
    </w:tbl>
    <w:p/>
    <w:p>
      <w:pPr>
        <w:pStyle w:val="Heading2"/>
      </w:pPr>
      <w:r>
        <w:t>5. External Tape Overlay: What the Viral Weekend Adds</w:t>
      </w:r>
    </w:p>
    <w:p>
      <w:r>
        <w:t>The weekend note does not overturn the strategic ranking. It improves the timing layer and clarifies the type of loss. Apple remains the clearest strategic relative loser because the new materials still do not provide direct Apple evidence in cloud AI infrastructure, power access, inference monetization, or capex-to-FCF conversion. Tesla remains a narrative-duration risk because the attention complex shifted toward ASTS and memory/GPU supply-chain trades rather than toward Tesla as the strongest AI infrastructure expression.</w:t>
      </w:r>
    </w:p>
    <w:p>
      <w:r>
        <w:t>The most important change is NVIDIA. The external tape makes it harder to call NVIDIA a fundamental loser and easier to call it a **multiple-risk and profit-pool-rotation loser**. Q1 FY2027 revenue of $81.6 billion and data-center revenue of $75.2 billion are too strong for a demand-collapse thesis, especially with a $91.0 billion Q2 revenue guide. But the stock's inability to expand on those numbers, combined with MU/HBM strength and ASTS-style high-beta attention, says the market is separating "AI demand exists" from "NVDA equity gets all the upside."</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sz w:val="17"/>
              </w:rPr>
              <w:t>Tape signal</w:t>
            </w:r>
          </w:p>
        </w:tc>
        <w:tc>
          <w:tcPr>
            <w:tcW w:type="dxa" w:w="2088"/>
            <w:vAlign w:val="top"/>
            <w:shd w:fill="E9EEF6"/>
          </w:tcPr>
          <w:p>
            <w:pPr>
              <w:jc w:val="left"/>
            </w:pPr>
            <w:r>
              <w:rPr>
                <w:rFonts w:ascii="Aptos" w:hAnsi="Aptos" w:eastAsia="PingFang SC"/>
                <w:b/>
                <w:sz w:val="17"/>
              </w:rPr>
              <w:t>What happened</w:t>
            </w:r>
          </w:p>
        </w:tc>
        <w:tc>
          <w:tcPr>
            <w:tcW w:type="dxa" w:w="3528"/>
            <w:vAlign w:val="top"/>
            <w:shd w:fill="E9EEF6"/>
          </w:tcPr>
          <w:p>
            <w:pPr>
              <w:jc w:val="left"/>
            </w:pPr>
            <w:r>
              <w:rPr>
                <w:rFonts w:ascii="Aptos" w:hAnsi="Aptos" w:eastAsia="PingFang SC"/>
                <w:b/>
                <w:sz w:val="17"/>
              </w:rPr>
              <w:t>Mag7 interpretation</w:t>
            </w:r>
          </w:p>
        </w:tc>
        <w:tc>
          <w:tcPr>
            <w:tcW w:type="dxa" w:w="2448"/>
            <w:vAlign w:val="top"/>
            <w:shd w:fill="E9EEF6"/>
          </w:tcPr>
          <w:p>
            <w:pPr>
              <w:jc w:val="center"/>
            </w:pPr>
            <w:r>
              <w:rPr>
                <w:rFonts w:ascii="Aptos" w:hAnsi="Aptos" w:eastAsia="PingFang SC"/>
                <w:b/>
                <w:sz w:val="17"/>
              </w:rPr>
              <w:t>Actionable read-through</w:t>
            </w:r>
          </w:p>
        </w:tc>
      </w:tr>
      <w:tr>
        <w:tc>
          <w:tcPr>
            <w:tcW w:type="dxa" w:w="1440"/>
            <w:vAlign w:val="top"/>
          </w:tcPr>
          <w:p>
            <w:pPr>
              <w:jc w:val="center"/>
            </w:pPr>
            <w:r>
              <w:rPr>
                <w:rFonts w:ascii="Aptos" w:hAnsi="Aptos" w:eastAsia="PingFang SC"/>
                <w:b w:val="0"/>
                <w:sz w:val="16"/>
              </w:rPr>
              <w:t>Sentiment and flows</w:t>
            </w:r>
          </w:p>
        </w:tc>
        <w:tc>
          <w:tcPr>
            <w:tcW w:type="dxa" w:w="2088"/>
            <w:vAlign w:val="top"/>
          </w:tcPr>
          <w:p>
            <w:pPr>
              <w:jc w:val="left"/>
            </w:pPr>
            <w:r>
              <w:rPr>
                <w:rFonts w:ascii="Aptos" w:hAnsi="Aptos" w:eastAsia="PingFang SC"/>
                <w:b w:val="0"/>
                <w:sz w:val="16"/>
              </w:rPr>
              <w:t>Greed remained, but extreme greed cooled; equity funds saw outflows while technology and money-market funds saw inflows.</w:t>
            </w:r>
          </w:p>
        </w:tc>
        <w:tc>
          <w:tcPr>
            <w:tcW w:type="dxa" w:w="3528"/>
            <w:vAlign w:val="top"/>
          </w:tcPr>
          <w:p>
            <w:pPr>
              <w:jc w:val="left"/>
            </w:pPr>
            <w:r>
              <w:rPr>
                <w:rFonts w:ascii="Aptos" w:hAnsi="Aptos" w:eastAsia="PingFang SC"/>
                <w:b w:val="0"/>
                <w:sz w:val="16"/>
              </w:rPr>
              <w:t>The market is not in a clean risk-on phase. It is a selective AI crowding phase.</w:t>
            </w:r>
          </w:p>
        </w:tc>
        <w:tc>
          <w:tcPr>
            <w:tcW w:type="dxa" w:w="2448"/>
            <w:vAlign w:val="top"/>
          </w:tcPr>
          <w:p>
            <w:pPr>
              <w:jc w:val="center"/>
            </w:pPr>
            <w:r>
              <w:rPr>
                <w:rFonts w:ascii="Aptos" w:hAnsi="Aptos" w:eastAsia="PingFang SC"/>
                <w:b w:val="0"/>
                <w:sz w:val="16"/>
              </w:rPr>
              <w:t>Do not upgrade every Mag7 duration story just because AI attention is high.</w:t>
            </w:r>
          </w:p>
        </w:tc>
      </w:tr>
      <w:tr>
        <w:tc>
          <w:tcPr>
            <w:tcW w:type="dxa" w:w="1440"/>
            <w:vAlign w:val="top"/>
          </w:tcPr>
          <w:p>
            <w:pPr>
              <w:jc w:val="center"/>
            </w:pPr>
            <w:r>
              <w:rPr>
                <w:rFonts w:ascii="Aptos" w:hAnsi="Aptos" w:eastAsia="PingFang SC"/>
                <w:b w:val="0"/>
                <w:sz w:val="16"/>
              </w:rPr>
              <w:t>NVDA post-earnings tape</w:t>
            </w:r>
          </w:p>
        </w:tc>
        <w:tc>
          <w:tcPr>
            <w:tcW w:type="dxa" w:w="2088"/>
            <w:vAlign w:val="top"/>
          </w:tcPr>
          <w:p>
            <w:pPr>
              <w:jc w:val="left"/>
            </w:pPr>
            <w:r>
              <w:rPr>
                <w:rFonts w:ascii="Aptos" w:hAnsi="Aptos" w:eastAsia="PingFang SC"/>
                <w:b w:val="0"/>
                <w:sz w:val="16"/>
              </w:rPr>
              <w:t>Strong Q1 FY2027 figures coexisted with weekly share weakness.</w:t>
            </w:r>
          </w:p>
        </w:tc>
        <w:tc>
          <w:tcPr>
            <w:tcW w:type="dxa" w:w="3528"/>
            <w:vAlign w:val="top"/>
          </w:tcPr>
          <w:p>
            <w:pPr>
              <w:jc w:val="left"/>
            </w:pPr>
            <w:r>
              <w:rPr>
                <w:rFonts w:ascii="Aptos" w:hAnsi="Aptos" w:eastAsia="PingFang SC"/>
                <w:b w:val="0"/>
                <w:sz w:val="16"/>
              </w:rPr>
              <w:t>Validates the distinction between fundamental winner and valuation/multiple loser.</w:t>
            </w:r>
          </w:p>
        </w:tc>
        <w:tc>
          <w:tcPr>
            <w:tcW w:type="dxa" w:w="2448"/>
            <w:vAlign w:val="top"/>
          </w:tcPr>
          <w:p>
            <w:pPr>
              <w:jc w:val="center"/>
            </w:pPr>
            <w:r>
              <w:rPr>
                <w:rFonts w:ascii="Aptos" w:hAnsi="Aptos" w:eastAsia="PingFang SC"/>
                <w:b w:val="0"/>
                <w:sz w:val="16"/>
              </w:rPr>
              <w:t>Watch whether NVDA reclaims the 2026-05-20 close near 223.47 or stays closer to the 2026-05-22 close near 215.33.</w:t>
            </w:r>
          </w:p>
        </w:tc>
      </w:tr>
      <w:tr>
        <w:tc>
          <w:tcPr>
            <w:tcW w:type="dxa" w:w="1440"/>
            <w:vAlign w:val="top"/>
          </w:tcPr>
          <w:p>
            <w:pPr>
              <w:jc w:val="center"/>
            </w:pPr>
            <w:r>
              <w:rPr>
                <w:rFonts w:ascii="Aptos" w:hAnsi="Aptos" w:eastAsia="PingFang SC"/>
                <w:b w:val="0"/>
                <w:sz w:val="16"/>
              </w:rPr>
              <w:t>MU/HBM strength</w:t>
            </w:r>
          </w:p>
        </w:tc>
        <w:tc>
          <w:tcPr>
            <w:tcW w:type="dxa" w:w="2088"/>
            <w:vAlign w:val="top"/>
          </w:tcPr>
          <w:p>
            <w:pPr>
              <w:jc w:val="left"/>
            </w:pPr>
            <w:r>
              <w:rPr>
                <w:rFonts w:ascii="Aptos" w:hAnsi="Aptos" w:eastAsia="PingFang SC"/>
                <w:b w:val="0"/>
                <w:sz w:val="16"/>
              </w:rPr>
              <w:t>MU recovered from a sharp intraweek drawdown and still finished higher over the window.</w:t>
            </w:r>
          </w:p>
        </w:tc>
        <w:tc>
          <w:tcPr>
            <w:tcW w:type="dxa" w:w="3528"/>
            <w:vAlign w:val="top"/>
          </w:tcPr>
          <w:p>
            <w:pPr>
              <w:jc w:val="left"/>
            </w:pPr>
            <w:r>
              <w:rPr>
                <w:rFonts w:ascii="Aptos" w:hAnsi="Aptos" w:eastAsia="PingFang SC"/>
                <w:b w:val="0"/>
                <w:sz w:val="16"/>
              </w:rPr>
              <w:t>AI infrastructure attention is moving into bottleneck suppliers.</w:t>
            </w:r>
          </w:p>
        </w:tc>
        <w:tc>
          <w:tcPr>
            <w:tcW w:type="dxa" w:w="2448"/>
            <w:vAlign w:val="top"/>
          </w:tcPr>
          <w:p>
            <w:pPr>
              <w:jc w:val="center"/>
            </w:pPr>
            <w:r>
              <w:rPr>
                <w:rFonts w:ascii="Aptos" w:hAnsi="Aptos" w:eastAsia="PingFang SC"/>
                <w:b w:val="0"/>
                <w:sz w:val="16"/>
              </w:rPr>
              <w:t>NVDA is safer as earnings than as the only equity expression of AI capex.</w:t>
            </w:r>
          </w:p>
        </w:tc>
      </w:tr>
      <w:tr>
        <w:tc>
          <w:tcPr>
            <w:tcW w:type="dxa" w:w="1440"/>
            <w:vAlign w:val="top"/>
          </w:tcPr>
          <w:p>
            <w:pPr>
              <w:jc w:val="center"/>
            </w:pPr>
            <w:r>
              <w:rPr>
                <w:rFonts w:ascii="Aptos" w:hAnsi="Aptos" w:eastAsia="PingFang SC"/>
                <w:b w:val="0"/>
                <w:sz w:val="16"/>
              </w:rPr>
              <w:t>ASTS liquidity event</w:t>
            </w:r>
          </w:p>
        </w:tc>
        <w:tc>
          <w:tcPr>
            <w:tcW w:type="dxa" w:w="2088"/>
            <w:vAlign w:val="top"/>
          </w:tcPr>
          <w:p>
            <w:pPr>
              <w:jc w:val="left"/>
            </w:pPr>
            <w:r>
              <w:rPr>
                <w:rFonts w:ascii="Aptos" w:hAnsi="Aptos" w:eastAsia="PingFang SC"/>
                <w:b w:val="0"/>
                <w:sz w:val="16"/>
              </w:rPr>
              <w:t>ASTS gained sharply and became a weekend propagation candidate.</w:t>
            </w:r>
          </w:p>
        </w:tc>
        <w:tc>
          <w:tcPr>
            <w:tcW w:type="dxa" w:w="3528"/>
            <w:vAlign w:val="top"/>
          </w:tcPr>
          <w:p>
            <w:pPr>
              <w:jc w:val="left"/>
            </w:pPr>
            <w:r>
              <w:rPr>
                <w:rFonts w:ascii="Aptos" w:hAnsi="Aptos" w:eastAsia="PingFang SC"/>
                <w:b w:val="0"/>
                <w:sz w:val="16"/>
              </w:rPr>
              <w:t>Retail attention is willing to buy infrastructure optionality outside Mag7.</w:t>
            </w:r>
          </w:p>
        </w:tc>
        <w:tc>
          <w:tcPr>
            <w:tcW w:type="dxa" w:w="2448"/>
            <w:vAlign w:val="top"/>
          </w:tcPr>
          <w:p>
            <w:pPr>
              <w:jc w:val="center"/>
            </w:pPr>
            <w:r>
              <w:rPr>
                <w:rFonts w:ascii="Aptos" w:hAnsi="Aptos" w:eastAsia="PingFang SC"/>
                <w:b w:val="0"/>
                <w:sz w:val="16"/>
              </w:rPr>
              <w:t>Treat ASTS as a volatility signal, not as proof that Mag7 leadership is safe.</w:t>
            </w:r>
          </w:p>
        </w:tc>
      </w:tr>
      <w:tr>
        <w:tc>
          <w:tcPr>
            <w:tcW w:type="dxa" w:w="1440"/>
            <w:vAlign w:val="top"/>
          </w:tcPr>
          <w:p>
            <w:pPr>
              <w:jc w:val="center"/>
            </w:pPr>
            <w:r>
              <w:rPr>
                <w:rFonts w:ascii="Aptos" w:hAnsi="Aptos" w:eastAsia="PingFang SC"/>
                <w:b w:val="0"/>
                <w:sz w:val="16"/>
              </w:rPr>
              <w:t>RDDT negative example</w:t>
            </w:r>
          </w:p>
        </w:tc>
        <w:tc>
          <w:tcPr>
            <w:tcW w:type="dxa" w:w="2088"/>
            <w:vAlign w:val="top"/>
          </w:tcPr>
          <w:p>
            <w:pPr>
              <w:jc w:val="left"/>
            </w:pPr>
            <w:r>
              <w:rPr>
                <w:rFonts w:ascii="Aptos" w:hAnsi="Aptos" w:eastAsia="PingFang SC"/>
                <w:b w:val="0"/>
                <w:sz w:val="16"/>
              </w:rPr>
              <w:t>RDDT fell despite attention.</w:t>
            </w:r>
          </w:p>
        </w:tc>
        <w:tc>
          <w:tcPr>
            <w:tcW w:type="dxa" w:w="3528"/>
            <w:vAlign w:val="top"/>
          </w:tcPr>
          <w:p>
            <w:pPr>
              <w:jc w:val="left"/>
            </w:pPr>
            <w:r>
              <w:rPr>
                <w:rFonts w:ascii="Aptos" w:hAnsi="Aptos" w:eastAsia="PingFang SC"/>
                <w:b w:val="0"/>
                <w:sz w:val="16"/>
              </w:rPr>
              <w:t>Mentions are not buy pressure.</w:t>
            </w:r>
          </w:p>
        </w:tc>
        <w:tc>
          <w:tcPr>
            <w:tcW w:type="dxa" w:w="2448"/>
            <w:vAlign w:val="top"/>
          </w:tcPr>
          <w:p>
            <w:pPr>
              <w:jc w:val="center"/>
            </w:pPr>
            <w:r>
              <w:rPr>
                <w:rFonts w:ascii="Aptos" w:hAnsi="Aptos" w:eastAsia="PingFang SC"/>
                <w:b w:val="0"/>
                <w:sz w:val="16"/>
              </w:rPr>
              <w:t>Social screens should be used as crowding and reversal-risk inputs.</w:t>
            </w:r>
          </w:p>
        </w:tc>
      </w:tr>
      <w:tr>
        <w:tc>
          <w:tcPr>
            <w:tcW w:type="dxa" w:w="1440"/>
            <w:vAlign w:val="top"/>
          </w:tcPr>
          <w:p>
            <w:pPr>
              <w:jc w:val="center"/>
            </w:pPr>
            <w:r>
              <w:rPr>
                <w:rFonts w:ascii="Aptos" w:hAnsi="Aptos" w:eastAsia="PingFang SC"/>
                <w:b w:val="0"/>
                <w:sz w:val="16"/>
              </w:rPr>
              <w:t>2026-05-26 open</w:t>
            </w:r>
          </w:p>
        </w:tc>
        <w:tc>
          <w:tcPr>
            <w:tcW w:type="dxa" w:w="2088"/>
            <w:vAlign w:val="top"/>
          </w:tcPr>
          <w:p>
            <w:pPr>
              <w:jc w:val="left"/>
            </w:pPr>
            <w:r>
              <w:rPr>
                <w:rFonts w:ascii="Aptos" w:hAnsi="Aptos" w:eastAsia="PingFang SC"/>
                <w:b w:val="0"/>
                <w:sz w:val="16"/>
              </w:rPr>
              <w:t>U.S. markets are closed on 2026-05-25 for Memorial Day.</w:t>
            </w:r>
          </w:p>
        </w:tc>
        <w:tc>
          <w:tcPr>
            <w:tcW w:type="dxa" w:w="3528"/>
            <w:vAlign w:val="top"/>
          </w:tcPr>
          <w:p>
            <w:pPr>
              <w:jc w:val="left"/>
            </w:pPr>
            <w:r>
              <w:rPr>
                <w:rFonts w:ascii="Aptos" w:hAnsi="Aptos" w:eastAsia="PingFang SC"/>
                <w:b w:val="0"/>
                <w:sz w:val="16"/>
              </w:rPr>
              <w:t>The tactical reaction window is Tuesday's U.S. cash open.</w:t>
            </w:r>
          </w:p>
        </w:tc>
        <w:tc>
          <w:tcPr>
            <w:tcW w:type="dxa" w:w="2448"/>
            <w:vAlign w:val="top"/>
          </w:tcPr>
          <w:p>
            <w:pPr>
              <w:jc w:val="center"/>
            </w:pPr>
            <w:r>
              <w:rPr>
                <w:rFonts w:ascii="Aptos" w:hAnsi="Aptos" w:eastAsia="PingFang SC"/>
                <w:b w:val="0"/>
                <w:sz w:val="16"/>
              </w:rPr>
              <w:t>Compare NVDA, MU, AMD, DELL, ASTS, TSLA, and QQQ breadth in the first 90 minutes.</w:t>
            </w:r>
          </w:p>
        </w:tc>
      </w:tr>
    </w:tbl>
    <w:p/>
    <w:p>
      <w:r>
        <w:t>External source links used in this overlay: Nasdaq holiday calendar, Amsflow U.S. Fear &amp; Greed, Reuters/LSEG fund-flow report via Investing.com, StockAnalysis price histories for NVDA, MU, ASTS, RDDT, TSLA, SPY and QQQ, NVIDIA Q1 FY2027 release, Micron investor materials, ASTS FCC/deployment report, AltIndex WSB tracker, and FearGreedMeter meme-stock tracker.</w:t>
      </w:r>
    </w:p>
    <w:p>
      <w:pPr>
        <w:pStyle w:val="Heading2"/>
      </w:pPr>
      <w:r>
        <w:t>6. Name-by-Name Assessment</w:t>
      </w:r>
    </w:p>
    <w:p>
      <w:pPr>
        <w:pStyle w:val="Heading3"/>
      </w:pPr>
      <w:r>
        <w:t>Apple: Strategic Relative Loser</w:t>
      </w:r>
    </w:p>
    <w:p>
      <w:r>
        <w:t>Apple is the hardest name to prove as an outright operating loser, but the easiest to identify as a strategic relative loser in this corpus. The AI Institute evidence is dense around hyperscaler capex, power, data-center architecture, inference economics, AI software monetization, cloud backlogs, and custom silicon. Apple does not appear as a validated owner of those next-era variables.</w:t>
      </w:r>
    </w:p>
    <w:p>
      <w:r>
        <w:t>That means the base case is not "Apple collapses." The base case is "Apple loses the leadership premium if the market reallocates Mag7 status toward companies with measurable AI infrastructure or AI revenue-density proof." Apple may still benefit from edge AI, device replacement, and services bundling, but the corpus has not validated those enough to offset the cloud/power/AI monetization evidence supporting Microsoft, Alphabet, NVIDIA, and parts of Amazon.</w:t>
      </w:r>
    </w:p>
    <w:p>
      <w:r>
        <w:t>The key falsifier is simple: device-side AI must show real economics. A stronger Apple case would require evidence of services ARPU uplift, replacement-cycle acceleration, local inference margins, or enterprise AI distribution that can be measured in revenue and FCF.</w:t>
      </w:r>
    </w:p>
    <w:p>
      <w:pPr>
        <w:pStyle w:val="Heading3"/>
      </w:pPr>
      <w:r>
        <w:t>Tesla: Narrative-Duration Loser</w:t>
      </w:r>
    </w:p>
    <w:p>
      <w:r>
        <w:t>Tesla is similar to Apple in one respect: the Institute corpus does not directly validate it as a winner in the AI capex-to-FCF chain. Its AI narrative is closer to autonomy, robotics, and option value, while the corpus is focused on infrastructure, cloud monetization, energy, custom silicon, and utilization.</w:t>
      </w:r>
    </w:p>
    <w:p>
      <w:r>
        <w:t>The weekend tape strengthens this interpretation. TSLA was visible in social screens and price action was not weak, but it was not the clearest viral market object. MU converted the "AI needs memory" slogan into a tradable bottleneck story, ASTS converted regulatory authorization into a liquidity event, and NVDA remained the reference point for the entire AI infrastructure basket. Tesla's issue is therefore not lack of attention; it is that attention has not yet become a measurable AI-infrastructure cash-flow bridge.</w:t>
      </w:r>
    </w:p>
    <w:p>
      <w:r>
        <w:t>That makes Tesla a duration-risk name rather than a direct capex loser. In a high real-rate regime, distant optionality needs operating evidence. If autonomy or robotics converts into recurring cash flow, this ranking changes. Without that, Tesla is vulnerable to the same problem that affects other narrative AI exposures: the market may ask for cash conversion before it pays for long-duration claims.</w:t>
      </w:r>
    </w:p>
    <w:p>
      <w:pPr>
        <w:pStyle w:val="Heading3"/>
      </w:pPr>
      <w:r>
        <w:t>Meta: Direct P&amp;L/FCF Pressure Candidate</w:t>
      </w:r>
    </w:p>
    <w:p>
      <w:r>
        <w:t>Meta has real AI monetization evidence. The prior Meta mechanism work shows that Reels ad-load recovery, Advantage+ automation, and AI ranking can repair signal loss and improve ad outcomes. That is why Meta should not be treated as an AI outsider.</w:t>
      </w:r>
    </w:p>
    <w:p>
      <w:r>
        <w:t>But Meta is also the best directly evidenced loser candidate. Its monetization route is mostly indirect: better targeting, higher engagement, more conversion, better advertiser ROI, and eventual messaging monetization. Its cost route is direct: capex, AI infrastructure, high-end talent, SBC, depreciation, and model spending. When the direct cost line is easier to measure than the incremental revenue line, the equity becomes a payback-period test.</w:t>
      </w:r>
    </w:p>
    <w:p>
      <w:r>
        <w:t>The strongest Meta signal to monitor is not only revenue growth. It is whether incremental AI spend still lifts ad price, ad load quality, engagement, and conversion efficiency faster than capex, depreciation, and SBC rise. If not, the market can re-rate Meta from an asset-light platform to a capital-intensive platform.</w:t>
      </w:r>
    </w:p>
    <w:p>
      <w:pPr>
        <w:pStyle w:val="Heading3"/>
      </w:pPr>
      <w:r>
        <w:t>NVIDIA: Multiple Loser, Not Base-Case Fundamental Loser</w:t>
      </w:r>
    </w:p>
    <w:p>
      <w:r>
        <w:t>The corpus confirms NVIDIA's fundamentals. The NVDA Q1 FY27 report treats data-center revenue as a capex output signal, with data center at 75.2 billion dollars and roughly 92% of total revenue. That is not weak demand.</w:t>
      </w:r>
    </w:p>
    <w:p>
      <w:r>
        <w:t>The expanded source set makes the conclusion more disciplined. NVIDIA's Q1 FY2027 release showed record revenue of about 81.6 billion dollars, data-center revenue of 75.2 billion dollars, a 91.0 billion dollar Q2 revenue guide, an additional 80.0 billion dollar buyback authorization, and a dividend increase. Those figures argue against a fundamental loser label. The weakness is that the stock fell over the 2026-05-16 to 2026-05-22 observation window and the guide excluded China data-center compute revenue. The market is not denying AI demand; it is repricing concentration, geopolitics, supply-chain allocation, and whether the next dollar of AI infrastructure beta belongs to NVDA or to memory, networking, ODM, power, or ASIC exposure.</w:t>
      </w:r>
    </w:p>
    <w:p>
      <w:r>
        <w:t>The risk is that the equity stops being the cleanest expression of the AI cycle. Several reports suggest the profit pool broadens toward CoWoS/HBM, 800G to 1.6T networking, server ODMs, power equipment, and CSP-specific ASICs. At the same time, hyperscalers are incented to improve bargaining power and lower unit inference costs. If the market moves from "buy scarce GPU" to "own the entire energy-efficient AI stack," NVIDIA can lose multiple while still growing.</w:t>
      </w:r>
    </w:p>
    <w:p>
      <w:r>
        <w:t>The key falsifier is acceleration plus margin resilience. If data-center growth keeps accelerating, gross margins hold, custom silicon adoption is slower than expected, and cloud capex remains supply constrained, NVIDIA remains a winner rather than a loser.</w:t>
      </w:r>
    </w:p>
    <w:p>
      <w:pPr>
        <w:pStyle w:val="Heading3"/>
      </w:pPr>
      <w:r>
        <w:t>Amazon: ROIC and Depreciation Test With Real Offsets</w:t>
      </w:r>
    </w:p>
    <w:p>
      <w:r>
        <w:t>Amazon has a mixed profile. AWS is a scale asset, custom silicon can lower unit cost, and logistics automation such as Vulcan gives Amazon a non-cloud productivity lever. Those offsets make it hard to call Amazon a top loser.</w:t>
      </w:r>
    </w:p>
    <w:p>
      <w:r>
        <w:t>The pressure points are still visible: cloud capex, server-life assumptions, depreciation, and FCF conversion. If AI hardware refresh cycles shorten faster than cloud monetization rises, Amazon faces a real ROIC test. The corpus therefore treats Amazon as a capex-discipline name rather than as an obvious loser.</w:t>
      </w:r>
    </w:p>
    <w:p>
      <w:pPr>
        <w:pStyle w:val="Heading3"/>
      </w:pPr>
      <w:r>
        <w:t>Alphabet: Heavy-Capex Survivor</w:t>
      </w:r>
    </w:p>
    <w:p>
      <w:r>
        <w:t>Alphabet is capital intensive, but the Institute evidence gives it several defenses: Google Cloud revenue and backlog, cloud operating-profit improvement, TPU/Ironwood, and energy-efficiency evidence. Its custom silicon gives it a stronger position in the "efficiency is the first power plant" regime.</w:t>
      </w:r>
    </w:p>
    <w:p>
      <w:r>
        <w:t>Alphabet loses only if the bridge breaks: cloud backlog fails to convert, AI search hurts margins, TPU efficiency does not reduce capital intensity, or SBC rises faster than monetization. In the current corpus, it looks more like a survivor with capex pressure than a loser.</w:t>
      </w:r>
    </w:p>
    <w:p>
      <w:pPr>
        <w:pStyle w:val="Heading3"/>
      </w:pPr>
      <w:r>
        <w:t>Microsoft: Least Likely Loser in the Corpus</w:t>
      </w:r>
    </w:p>
    <w:p>
      <w:r>
        <w:t>Microsoft is not immune to the problem. Its capex, lease base, depreciation, and SBC burden are rising. But the corpus gives Microsoft the cleanest capex-to-revenue bridge: cloud revenue growth, AI ARR, enterprise distribution, Copilot pricing migration, backlog, and Azure demand.</w:t>
      </w:r>
    </w:p>
    <w:p>
      <w:r>
        <w:t>The Institute evidence therefore puts Microsoft at the bottom of the loser list. It can still be de-rated if Azure or Copilot slows while capex keeps rising, but among Mag7 names it has the most directly evidenced route from AI investment to revenue.</w:t>
      </w:r>
    </w:p>
    <w:p>
      <w:pPr>
        <w:pStyle w:val="Heading2"/>
      </w:pPr>
      <w:r>
        <w:t>7. Transmission Framework</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sz w:val="17"/>
              </w:rPr>
              <w:t>Layer</w:t>
            </w:r>
          </w:p>
        </w:tc>
        <w:tc>
          <w:tcPr>
            <w:tcW w:type="dxa" w:w="2088"/>
            <w:vAlign w:val="top"/>
            <w:shd w:fill="E9EEF6"/>
          </w:tcPr>
          <w:p>
            <w:pPr>
              <w:jc w:val="left"/>
            </w:pPr>
            <w:r>
              <w:rPr>
                <w:rFonts w:ascii="Aptos" w:hAnsi="Aptos" w:eastAsia="PingFang SC"/>
                <w:b/>
                <w:sz w:val="17"/>
              </w:rPr>
              <w:t>Main variables</w:t>
            </w:r>
          </w:p>
        </w:tc>
        <w:tc>
          <w:tcPr>
            <w:tcW w:type="dxa" w:w="3528"/>
            <w:vAlign w:val="top"/>
            <w:shd w:fill="E9EEF6"/>
          </w:tcPr>
          <w:p>
            <w:pPr>
              <w:jc w:val="left"/>
            </w:pPr>
            <w:r>
              <w:rPr>
                <w:rFonts w:ascii="Aptos" w:hAnsi="Aptos" w:eastAsia="PingFang SC"/>
                <w:b/>
                <w:sz w:val="17"/>
              </w:rPr>
              <w:t>Financial transmission</w:t>
            </w:r>
          </w:p>
        </w:tc>
        <w:tc>
          <w:tcPr>
            <w:tcW w:type="dxa" w:w="2448"/>
            <w:vAlign w:val="top"/>
            <w:shd w:fill="E9EEF6"/>
          </w:tcPr>
          <w:p>
            <w:pPr>
              <w:jc w:val="center"/>
            </w:pPr>
            <w:r>
              <w:rPr>
                <w:rFonts w:ascii="Aptos" w:hAnsi="Aptos" w:eastAsia="PingFang SC"/>
                <w:b/>
                <w:sz w:val="17"/>
              </w:rPr>
              <w:t>Investment implication</w:t>
            </w:r>
          </w:p>
        </w:tc>
      </w:tr>
      <w:tr>
        <w:tc>
          <w:tcPr>
            <w:tcW w:type="dxa" w:w="1440"/>
            <w:vAlign w:val="top"/>
          </w:tcPr>
          <w:p>
            <w:pPr>
              <w:jc w:val="center"/>
            </w:pPr>
            <w:r>
              <w:rPr>
                <w:rFonts w:ascii="Aptos" w:hAnsi="Aptos" w:eastAsia="PingFang SC"/>
                <w:b w:val="0"/>
                <w:sz w:val="16"/>
              </w:rPr>
              <w:t>Demand</w:t>
            </w:r>
          </w:p>
        </w:tc>
        <w:tc>
          <w:tcPr>
            <w:tcW w:type="dxa" w:w="2088"/>
            <w:vAlign w:val="top"/>
          </w:tcPr>
          <w:p>
            <w:pPr>
              <w:jc w:val="left"/>
            </w:pPr>
            <w:r>
              <w:rPr>
                <w:rFonts w:ascii="Aptos" w:hAnsi="Aptos" w:eastAsia="PingFang SC"/>
                <w:b w:val="0"/>
                <w:sz w:val="16"/>
              </w:rPr>
              <w:t>Training, inference, cloud workloads, AI advertising, enterprise copilots</w:t>
            </w:r>
          </w:p>
        </w:tc>
        <w:tc>
          <w:tcPr>
            <w:tcW w:type="dxa" w:w="3528"/>
            <w:vAlign w:val="top"/>
          </w:tcPr>
          <w:p>
            <w:pPr>
              <w:jc w:val="left"/>
            </w:pPr>
            <w:r>
              <w:rPr>
                <w:rFonts w:ascii="Aptos" w:hAnsi="Aptos" w:eastAsia="PingFang SC"/>
                <w:b w:val="0"/>
                <w:sz w:val="16"/>
              </w:rPr>
              <w:t>Revenue growth, utilization, backlog conversion</w:t>
            </w:r>
          </w:p>
        </w:tc>
        <w:tc>
          <w:tcPr>
            <w:tcW w:type="dxa" w:w="2448"/>
            <w:vAlign w:val="top"/>
          </w:tcPr>
          <w:p>
            <w:pPr>
              <w:jc w:val="center"/>
            </w:pPr>
            <w:r>
              <w:rPr>
                <w:rFonts w:ascii="Aptos" w:hAnsi="Aptos" w:eastAsia="PingFang SC"/>
                <w:b w:val="0"/>
                <w:sz w:val="16"/>
              </w:rPr>
              <w:t>Demand is real, but it must become revenue density and FCF</w:t>
            </w:r>
          </w:p>
        </w:tc>
      </w:tr>
      <w:tr>
        <w:tc>
          <w:tcPr>
            <w:tcW w:type="dxa" w:w="1440"/>
            <w:vAlign w:val="top"/>
          </w:tcPr>
          <w:p>
            <w:pPr>
              <w:jc w:val="center"/>
            </w:pPr>
            <w:r>
              <w:rPr>
                <w:rFonts w:ascii="Aptos" w:hAnsi="Aptos" w:eastAsia="PingFang SC"/>
                <w:b w:val="0"/>
                <w:sz w:val="16"/>
              </w:rPr>
              <w:t>Capital Base</w:t>
            </w:r>
          </w:p>
        </w:tc>
        <w:tc>
          <w:tcPr>
            <w:tcW w:type="dxa" w:w="2088"/>
            <w:vAlign w:val="top"/>
          </w:tcPr>
          <w:p>
            <w:pPr>
              <w:jc w:val="left"/>
            </w:pPr>
            <w:r>
              <w:rPr>
                <w:rFonts w:ascii="Aptos" w:hAnsi="Aptos" w:eastAsia="PingFang SC"/>
                <w:b w:val="0"/>
                <w:sz w:val="16"/>
              </w:rPr>
              <w:t>Data centers, GPUs, networking, land, power, leases</w:t>
            </w:r>
          </w:p>
        </w:tc>
        <w:tc>
          <w:tcPr>
            <w:tcW w:type="dxa" w:w="3528"/>
            <w:vAlign w:val="top"/>
          </w:tcPr>
          <w:p>
            <w:pPr>
              <w:jc w:val="left"/>
            </w:pPr>
            <w:r>
              <w:rPr>
                <w:rFonts w:ascii="Aptos" w:hAnsi="Aptos" w:eastAsia="PingFang SC"/>
                <w:b w:val="0"/>
                <w:sz w:val="16"/>
              </w:rPr>
              <w:t>Higher depreciation, lower near-term FCF, ROIC pressure</w:t>
            </w:r>
          </w:p>
        </w:tc>
        <w:tc>
          <w:tcPr>
            <w:tcW w:type="dxa" w:w="2448"/>
            <w:vAlign w:val="top"/>
          </w:tcPr>
          <w:p>
            <w:pPr>
              <w:jc w:val="center"/>
            </w:pPr>
            <w:r>
              <w:rPr>
                <w:rFonts w:ascii="Aptos" w:hAnsi="Aptos" w:eastAsia="PingFang SC"/>
                <w:b w:val="0"/>
                <w:sz w:val="16"/>
              </w:rPr>
              <w:t>The market rewards capex only when utilization is visible</w:t>
            </w:r>
          </w:p>
        </w:tc>
      </w:tr>
      <w:tr>
        <w:tc>
          <w:tcPr>
            <w:tcW w:type="dxa" w:w="1440"/>
            <w:vAlign w:val="top"/>
          </w:tcPr>
          <w:p>
            <w:pPr>
              <w:jc w:val="center"/>
            </w:pPr>
            <w:r>
              <w:rPr>
                <w:rFonts w:ascii="Aptos" w:hAnsi="Aptos" w:eastAsia="PingFang SC"/>
                <w:b w:val="0"/>
                <w:sz w:val="16"/>
              </w:rPr>
              <w:t>Power and Efficiency</w:t>
            </w:r>
          </w:p>
        </w:tc>
        <w:tc>
          <w:tcPr>
            <w:tcW w:type="dxa" w:w="2088"/>
            <w:vAlign w:val="top"/>
          </w:tcPr>
          <w:p>
            <w:pPr>
              <w:jc w:val="left"/>
            </w:pPr>
            <w:r>
              <w:rPr>
                <w:rFonts w:ascii="Aptos" w:hAnsi="Aptos" w:eastAsia="PingFang SC"/>
                <w:b w:val="0"/>
                <w:sz w:val="16"/>
              </w:rPr>
              <w:t>PUE, liquid cooling, grid access, firm power, custom silicon</w:t>
            </w:r>
          </w:p>
        </w:tc>
        <w:tc>
          <w:tcPr>
            <w:tcW w:type="dxa" w:w="3528"/>
            <w:vAlign w:val="top"/>
          </w:tcPr>
          <w:p>
            <w:pPr>
              <w:jc w:val="left"/>
            </w:pPr>
            <w:r>
              <w:rPr>
                <w:rFonts w:ascii="Aptos" w:hAnsi="Aptos" w:eastAsia="PingFang SC"/>
                <w:b w:val="0"/>
                <w:sz w:val="16"/>
              </w:rPr>
              <w:t>Operating cost, capacity release, project timing</w:t>
            </w:r>
          </w:p>
        </w:tc>
        <w:tc>
          <w:tcPr>
            <w:tcW w:type="dxa" w:w="2448"/>
            <w:vAlign w:val="top"/>
          </w:tcPr>
          <w:p>
            <w:pPr>
              <w:jc w:val="center"/>
            </w:pPr>
            <w:r>
              <w:rPr>
                <w:rFonts w:ascii="Aptos" w:hAnsi="Aptos" w:eastAsia="PingFang SC"/>
                <w:b w:val="0"/>
                <w:sz w:val="16"/>
              </w:rPr>
              <w:t>Efficiency becomes a strategic moat and a valuation filter</w:t>
            </w:r>
          </w:p>
        </w:tc>
      </w:tr>
      <w:tr>
        <w:tc>
          <w:tcPr>
            <w:tcW w:type="dxa" w:w="1440"/>
            <w:vAlign w:val="top"/>
          </w:tcPr>
          <w:p>
            <w:pPr>
              <w:jc w:val="center"/>
            </w:pPr>
            <w:r>
              <w:rPr>
                <w:rFonts w:ascii="Aptos" w:hAnsi="Aptos" w:eastAsia="PingFang SC"/>
                <w:b w:val="0"/>
                <w:sz w:val="16"/>
              </w:rPr>
              <w:t>Talent and SBC</w:t>
            </w:r>
          </w:p>
        </w:tc>
        <w:tc>
          <w:tcPr>
            <w:tcW w:type="dxa" w:w="2088"/>
            <w:vAlign w:val="top"/>
          </w:tcPr>
          <w:p>
            <w:pPr>
              <w:jc w:val="left"/>
            </w:pPr>
            <w:r>
              <w:rPr>
                <w:rFonts w:ascii="Aptos" w:hAnsi="Aptos" w:eastAsia="PingFang SC"/>
                <w:b w:val="0"/>
                <w:sz w:val="16"/>
              </w:rPr>
              <w:t>AI researchers, infrastructure engineers, competitive offers</w:t>
            </w:r>
          </w:p>
        </w:tc>
        <w:tc>
          <w:tcPr>
            <w:tcW w:type="dxa" w:w="3528"/>
            <w:vAlign w:val="top"/>
          </w:tcPr>
          <w:p>
            <w:pPr>
              <w:jc w:val="left"/>
            </w:pPr>
            <w:r>
              <w:rPr>
                <w:rFonts w:ascii="Aptos" w:hAnsi="Aptos" w:eastAsia="PingFang SC"/>
                <w:b w:val="0"/>
                <w:sz w:val="16"/>
              </w:rPr>
              <w:t>Higher operating expense, dilution, delayed EPS pressure</w:t>
            </w:r>
          </w:p>
        </w:tc>
        <w:tc>
          <w:tcPr>
            <w:tcW w:type="dxa" w:w="2448"/>
            <w:vAlign w:val="top"/>
          </w:tcPr>
          <w:p>
            <w:pPr>
              <w:jc w:val="center"/>
            </w:pPr>
            <w:r>
              <w:rPr>
                <w:rFonts w:ascii="Aptos" w:hAnsi="Aptos" w:eastAsia="PingFang SC"/>
                <w:b w:val="0"/>
                <w:sz w:val="16"/>
              </w:rPr>
              <w:t>Meta and Alphabet are most visible; Microsoft is partly pre-guided</w:t>
            </w:r>
          </w:p>
        </w:tc>
      </w:tr>
      <w:tr>
        <w:tc>
          <w:tcPr>
            <w:tcW w:type="dxa" w:w="1440"/>
            <w:vAlign w:val="top"/>
          </w:tcPr>
          <w:p>
            <w:pPr>
              <w:jc w:val="center"/>
            </w:pPr>
            <w:r>
              <w:rPr>
                <w:rFonts w:ascii="Aptos" w:hAnsi="Aptos" w:eastAsia="PingFang SC"/>
                <w:b w:val="0"/>
                <w:sz w:val="16"/>
              </w:rPr>
              <w:t>Supplier and Architecture</w:t>
            </w:r>
          </w:p>
        </w:tc>
        <w:tc>
          <w:tcPr>
            <w:tcW w:type="dxa" w:w="2088"/>
            <w:vAlign w:val="top"/>
          </w:tcPr>
          <w:p>
            <w:pPr>
              <w:jc w:val="left"/>
            </w:pPr>
            <w:r>
              <w:rPr>
                <w:rFonts w:ascii="Aptos" w:hAnsi="Aptos" w:eastAsia="PingFang SC"/>
                <w:b w:val="0"/>
                <w:sz w:val="16"/>
              </w:rPr>
              <w:t>NVIDIA GPUs, CoWoS/HBM, networking, ASICs, TPUs</w:t>
            </w:r>
          </w:p>
        </w:tc>
        <w:tc>
          <w:tcPr>
            <w:tcW w:type="dxa" w:w="3528"/>
            <w:vAlign w:val="top"/>
          </w:tcPr>
          <w:p>
            <w:pPr>
              <w:jc w:val="left"/>
            </w:pPr>
            <w:r>
              <w:rPr>
                <w:rFonts w:ascii="Aptos" w:hAnsi="Aptos" w:eastAsia="PingFang SC"/>
                <w:b w:val="0"/>
                <w:sz w:val="16"/>
              </w:rPr>
              <w:t>Margin allocation across the hardware stack</w:t>
            </w:r>
          </w:p>
        </w:tc>
        <w:tc>
          <w:tcPr>
            <w:tcW w:type="dxa" w:w="2448"/>
            <w:vAlign w:val="top"/>
          </w:tcPr>
          <w:p>
            <w:pPr>
              <w:jc w:val="center"/>
            </w:pPr>
            <w:r>
              <w:rPr>
                <w:rFonts w:ascii="Aptos" w:hAnsi="Aptos" w:eastAsia="PingFang SC"/>
                <w:b w:val="0"/>
                <w:sz w:val="16"/>
              </w:rPr>
              <w:t>NVIDIA can win earnings but lose scarcity multiple</w:t>
            </w:r>
          </w:p>
        </w:tc>
      </w:tr>
      <w:tr>
        <w:tc>
          <w:tcPr>
            <w:tcW w:type="dxa" w:w="1440"/>
            <w:vAlign w:val="top"/>
          </w:tcPr>
          <w:p>
            <w:pPr>
              <w:jc w:val="center"/>
            </w:pPr>
            <w:r>
              <w:rPr>
                <w:rFonts w:ascii="Aptos" w:hAnsi="Aptos" w:eastAsia="PingFang SC"/>
                <w:b w:val="0"/>
                <w:sz w:val="16"/>
              </w:rPr>
              <w:t>Discount Rate</w:t>
            </w:r>
          </w:p>
        </w:tc>
        <w:tc>
          <w:tcPr>
            <w:tcW w:type="dxa" w:w="2088"/>
            <w:vAlign w:val="top"/>
          </w:tcPr>
          <w:p>
            <w:pPr>
              <w:jc w:val="left"/>
            </w:pPr>
            <w:r>
              <w:rPr>
                <w:rFonts w:ascii="Aptos" w:hAnsi="Aptos" w:eastAsia="PingFang SC"/>
                <w:b w:val="0"/>
                <w:sz w:val="16"/>
              </w:rPr>
              <w:t>Long real yields, duration, risk premium</w:t>
            </w:r>
          </w:p>
        </w:tc>
        <w:tc>
          <w:tcPr>
            <w:tcW w:type="dxa" w:w="3528"/>
            <w:vAlign w:val="top"/>
          </w:tcPr>
          <w:p>
            <w:pPr>
              <w:jc w:val="left"/>
            </w:pPr>
            <w:r>
              <w:rPr>
                <w:rFonts w:ascii="Aptos" w:hAnsi="Aptos" w:eastAsia="PingFang SC"/>
                <w:b w:val="0"/>
                <w:sz w:val="16"/>
              </w:rPr>
              <w:t>Multiple compression and higher hurdle rate</w:t>
            </w:r>
          </w:p>
        </w:tc>
        <w:tc>
          <w:tcPr>
            <w:tcW w:type="dxa" w:w="2448"/>
            <w:vAlign w:val="top"/>
          </w:tcPr>
          <w:p>
            <w:pPr>
              <w:jc w:val="center"/>
            </w:pPr>
            <w:r>
              <w:rPr>
                <w:rFonts w:ascii="Aptos" w:hAnsi="Aptos" w:eastAsia="PingFang SC"/>
                <w:b w:val="0"/>
                <w:sz w:val="16"/>
              </w:rPr>
              <w:t>Apple/Tesla narrative duration is most exposed</w:t>
            </w:r>
          </w:p>
        </w:tc>
      </w:tr>
    </w:tbl>
    <w:p/>
    <w:p>
      <w:pPr>
        <w:pStyle w:val="Heading2"/>
      </w:pPr>
      <w:r>
        <w:t>8. Scenario Analysis</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sz w:val="17"/>
              </w:rPr>
              <w:t>Scenario</w:t>
            </w:r>
          </w:p>
        </w:tc>
        <w:tc>
          <w:tcPr>
            <w:tcW w:type="dxa" w:w="2088"/>
            <w:vAlign w:val="top"/>
            <w:shd w:fill="E9EEF6"/>
          </w:tcPr>
          <w:p>
            <w:pPr>
              <w:jc w:val="left"/>
            </w:pPr>
            <w:r>
              <w:rPr>
                <w:rFonts w:ascii="Aptos" w:hAnsi="Aptos" w:eastAsia="PingFang SC"/>
                <w:b/>
                <w:sz w:val="17"/>
              </w:rPr>
              <w:t>Trigger</w:t>
            </w:r>
          </w:p>
        </w:tc>
        <w:tc>
          <w:tcPr>
            <w:tcW w:type="dxa" w:w="3528"/>
            <w:vAlign w:val="top"/>
            <w:shd w:fill="E9EEF6"/>
          </w:tcPr>
          <w:p>
            <w:pPr>
              <w:jc w:val="left"/>
            </w:pPr>
            <w:r>
              <w:rPr>
                <w:rFonts w:ascii="Aptos" w:hAnsi="Aptos" w:eastAsia="PingFang SC"/>
                <w:b/>
                <w:sz w:val="17"/>
              </w:rPr>
              <w:t>Macro/Asset Implication</w:t>
            </w:r>
          </w:p>
        </w:tc>
        <w:tc>
          <w:tcPr>
            <w:tcW w:type="dxa" w:w="2448"/>
            <w:vAlign w:val="top"/>
            <w:shd w:fill="E9EEF6"/>
          </w:tcPr>
          <w:p>
            <w:pPr>
              <w:jc w:val="center"/>
            </w:pPr>
            <w:r>
              <w:rPr>
                <w:rFonts w:ascii="Aptos" w:hAnsi="Aptos" w:eastAsia="PingFang SC"/>
                <w:b/>
                <w:sz w:val="17"/>
              </w:rPr>
              <w:t>Investor Action</w:t>
            </w:r>
          </w:p>
        </w:tc>
      </w:tr>
      <w:tr>
        <w:tc>
          <w:tcPr>
            <w:tcW w:type="dxa" w:w="1440"/>
            <w:vAlign w:val="top"/>
          </w:tcPr>
          <w:p>
            <w:pPr>
              <w:jc w:val="center"/>
            </w:pPr>
            <w:r>
              <w:rPr>
                <w:rFonts w:ascii="Aptos" w:hAnsi="Aptos" w:eastAsia="PingFang SC"/>
                <w:b w:val="0"/>
                <w:sz w:val="16"/>
              </w:rPr>
              <w:t>Base Case: AI capex real, FCF bridge uneven</w:t>
            </w:r>
          </w:p>
        </w:tc>
        <w:tc>
          <w:tcPr>
            <w:tcW w:type="dxa" w:w="2088"/>
            <w:vAlign w:val="top"/>
          </w:tcPr>
          <w:p>
            <w:pPr>
              <w:jc w:val="left"/>
            </w:pPr>
            <w:r>
              <w:rPr>
                <w:rFonts w:ascii="Aptos" w:hAnsi="Aptos" w:eastAsia="PingFang SC"/>
                <w:b w:val="0"/>
                <w:sz w:val="16"/>
              </w:rPr>
              <w:t>Capex remains high; Microsoft/Alphabet show revenue bridge; Meta and Amazon face payback scrutiny; Apple/Tesla lack direct evidence</w:t>
            </w:r>
          </w:p>
        </w:tc>
        <w:tc>
          <w:tcPr>
            <w:tcW w:type="dxa" w:w="3528"/>
            <w:vAlign w:val="top"/>
          </w:tcPr>
          <w:p>
            <w:pPr>
              <w:jc w:val="left"/>
            </w:pPr>
            <w:r>
              <w:rPr>
                <w:rFonts w:ascii="Aptos" w:hAnsi="Aptos" w:eastAsia="PingFang SC"/>
                <w:b w:val="0"/>
                <w:sz w:val="16"/>
              </w:rPr>
              <w:t>Dispersion within Mag7 rises; market pays for proof, not category membership</w:t>
            </w:r>
          </w:p>
        </w:tc>
        <w:tc>
          <w:tcPr>
            <w:tcW w:type="dxa" w:w="2448"/>
            <w:vAlign w:val="top"/>
          </w:tcPr>
          <w:p>
            <w:pPr>
              <w:jc w:val="center"/>
            </w:pPr>
            <w:r>
              <w:rPr>
                <w:rFonts w:ascii="Aptos" w:hAnsi="Aptos" w:eastAsia="PingFang SC"/>
                <w:b w:val="0"/>
                <w:sz w:val="16"/>
              </w:rPr>
              <w:t>Overweight proven capex-to-revenue names; underweight unvalidated duration</w:t>
            </w:r>
          </w:p>
        </w:tc>
      </w:tr>
      <w:tr>
        <w:tc>
          <w:tcPr>
            <w:tcW w:type="dxa" w:w="1440"/>
            <w:vAlign w:val="top"/>
          </w:tcPr>
          <w:p>
            <w:pPr>
              <w:jc w:val="center"/>
            </w:pPr>
            <w:r>
              <w:rPr>
                <w:rFonts w:ascii="Aptos" w:hAnsi="Aptos" w:eastAsia="PingFang SC"/>
                <w:b w:val="0"/>
                <w:sz w:val="16"/>
              </w:rPr>
              <w:t>Bear Case: Capex outruns monetization</w:t>
            </w:r>
          </w:p>
        </w:tc>
        <w:tc>
          <w:tcPr>
            <w:tcW w:type="dxa" w:w="2088"/>
            <w:vAlign w:val="top"/>
          </w:tcPr>
          <w:p>
            <w:pPr>
              <w:jc w:val="left"/>
            </w:pPr>
            <w:r>
              <w:rPr>
                <w:rFonts w:ascii="Aptos" w:hAnsi="Aptos" w:eastAsia="PingFang SC"/>
                <w:b w:val="0"/>
                <w:sz w:val="16"/>
              </w:rPr>
              <w:t>Revenue density and utilization lag; depreciation and SBC rise; power constraints delay live capacity</w:t>
            </w:r>
          </w:p>
        </w:tc>
        <w:tc>
          <w:tcPr>
            <w:tcW w:type="dxa" w:w="3528"/>
            <w:vAlign w:val="top"/>
          </w:tcPr>
          <w:p>
            <w:pPr>
              <w:jc w:val="left"/>
            </w:pPr>
            <w:r>
              <w:rPr>
                <w:rFonts w:ascii="Aptos" w:hAnsi="Aptos" w:eastAsia="PingFang SC"/>
                <w:b w:val="0"/>
                <w:sz w:val="16"/>
              </w:rPr>
              <w:t>Hyperscaler multiples compress; high-duration narratives lose most</w:t>
            </w:r>
          </w:p>
        </w:tc>
        <w:tc>
          <w:tcPr>
            <w:tcW w:type="dxa" w:w="2448"/>
            <w:vAlign w:val="top"/>
          </w:tcPr>
          <w:p>
            <w:pPr>
              <w:jc w:val="center"/>
            </w:pPr>
            <w:r>
              <w:rPr>
                <w:rFonts w:ascii="Aptos" w:hAnsi="Aptos" w:eastAsia="PingFang SC"/>
                <w:b w:val="0"/>
                <w:sz w:val="16"/>
              </w:rPr>
              <w:t>Cut exposure to Apple/Tesla narrative duration and Meta payback risk; demand FCF evidence</w:t>
            </w:r>
          </w:p>
        </w:tc>
      </w:tr>
      <w:tr>
        <w:tc>
          <w:tcPr>
            <w:tcW w:type="dxa" w:w="1440"/>
            <w:vAlign w:val="top"/>
          </w:tcPr>
          <w:p>
            <w:pPr>
              <w:jc w:val="center"/>
            </w:pPr>
            <w:r>
              <w:rPr>
                <w:rFonts w:ascii="Aptos" w:hAnsi="Aptos" w:eastAsia="PingFang SC"/>
                <w:b w:val="0"/>
                <w:sz w:val="16"/>
              </w:rPr>
              <w:t>Hardware Reallocation Case</w:t>
            </w:r>
          </w:p>
        </w:tc>
        <w:tc>
          <w:tcPr>
            <w:tcW w:type="dxa" w:w="2088"/>
            <w:vAlign w:val="top"/>
          </w:tcPr>
          <w:p>
            <w:pPr>
              <w:jc w:val="left"/>
            </w:pPr>
            <w:r>
              <w:rPr>
                <w:rFonts w:ascii="Aptos" w:hAnsi="Aptos" w:eastAsia="PingFang SC"/>
                <w:b w:val="0"/>
                <w:sz w:val="16"/>
              </w:rPr>
              <w:t>NVDA confirms demand but cash flows to CoWoS/HBM, networking, ODMs, power equipment, ASIC suppliers</w:t>
            </w:r>
          </w:p>
        </w:tc>
        <w:tc>
          <w:tcPr>
            <w:tcW w:type="dxa" w:w="3528"/>
            <w:vAlign w:val="top"/>
          </w:tcPr>
          <w:p>
            <w:pPr>
              <w:jc w:val="left"/>
            </w:pPr>
            <w:r>
              <w:rPr>
                <w:rFonts w:ascii="Aptos" w:hAnsi="Aptos" w:eastAsia="PingFang SC"/>
                <w:b w:val="0"/>
                <w:sz w:val="16"/>
              </w:rPr>
              <w:t>NVIDIA remains profitable but loses pure scarcity premium</w:t>
            </w:r>
          </w:p>
        </w:tc>
        <w:tc>
          <w:tcPr>
            <w:tcW w:type="dxa" w:w="2448"/>
            <w:vAlign w:val="top"/>
          </w:tcPr>
          <w:p>
            <w:pPr>
              <w:jc w:val="center"/>
            </w:pPr>
            <w:r>
              <w:rPr>
                <w:rFonts w:ascii="Aptos" w:hAnsi="Aptos" w:eastAsia="PingFang SC"/>
                <w:b w:val="0"/>
                <w:sz w:val="16"/>
              </w:rPr>
              <w:t>Express AI hardware through broader supply-chain and efficiency baskets</w:t>
            </w:r>
          </w:p>
        </w:tc>
      </w:tr>
      <w:tr>
        <w:tc>
          <w:tcPr>
            <w:tcW w:type="dxa" w:w="1440"/>
            <w:vAlign w:val="top"/>
          </w:tcPr>
          <w:p>
            <w:pPr>
              <w:jc w:val="center"/>
            </w:pPr>
            <w:r>
              <w:rPr>
                <w:rFonts w:ascii="Aptos" w:hAnsi="Aptos" w:eastAsia="PingFang SC"/>
                <w:b w:val="0"/>
                <w:sz w:val="16"/>
              </w:rPr>
              <w:t>Viral Attention Rotation Case</w:t>
            </w:r>
          </w:p>
        </w:tc>
        <w:tc>
          <w:tcPr>
            <w:tcW w:type="dxa" w:w="2088"/>
            <w:vAlign w:val="top"/>
          </w:tcPr>
          <w:p>
            <w:pPr>
              <w:jc w:val="left"/>
            </w:pPr>
            <w:r>
              <w:rPr>
                <w:rFonts w:ascii="Aptos" w:hAnsi="Aptos" w:eastAsia="PingFang SC"/>
                <w:b w:val="0"/>
                <w:sz w:val="16"/>
              </w:rPr>
              <w:t>NVDA stays below the post-earnings close while MU/AMD/DELL/ASTS outperform; social screens remain concentrated in AI infrastructure alternatives</w:t>
            </w:r>
          </w:p>
        </w:tc>
        <w:tc>
          <w:tcPr>
            <w:tcW w:type="dxa" w:w="3528"/>
            <w:vAlign w:val="top"/>
          </w:tcPr>
          <w:p>
            <w:pPr>
              <w:jc w:val="left"/>
            </w:pPr>
            <w:r>
              <w:rPr>
                <w:rFonts w:ascii="Aptos" w:hAnsi="Aptos" w:eastAsia="PingFang SC"/>
                <w:b w:val="0"/>
                <w:sz w:val="16"/>
              </w:rPr>
              <w:t>AI beta migrates from Mag7 leadership into bottleneck suppliers and option-like infrastructure names</w:t>
            </w:r>
          </w:p>
        </w:tc>
        <w:tc>
          <w:tcPr>
            <w:tcW w:type="dxa" w:w="2448"/>
            <w:vAlign w:val="top"/>
          </w:tcPr>
          <w:p>
            <w:pPr>
              <w:jc w:val="center"/>
            </w:pPr>
            <w:r>
              <w:rPr>
                <w:rFonts w:ascii="Aptos" w:hAnsi="Aptos" w:eastAsia="PingFang SC"/>
                <w:b w:val="0"/>
                <w:sz w:val="16"/>
              </w:rPr>
              <w:t>Keep NVIDIA as a fundamentals winner but avoid treating it as the only AI-capex expression</w:t>
            </w:r>
          </w:p>
        </w:tc>
      </w:tr>
      <w:tr>
        <w:tc>
          <w:tcPr>
            <w:tcW w:type="dxa" w:w="1440"/>
            <w:vAlign w:val="top"/>
          </w:tcPr>
          <w:p>
            <w:pPr>
              <w:jc w:val="center"/>
            </w:pPr>
            <w:r>
              <w:rPr>
                <w:rFonts w:ascii="Aptos" w:hAnsi="Aptos" w:eastAsia="PingFang SC"/>
                <w:b w:val="0"/>
                <w:sz w:val="16"/>
              </w:rPr>
              <w:t>Efficiency Breakthrough Case</w:t>
            </w:r>
          </w:p>
        </w:tc>
        <w:tc>
          <w:tcPr>
            <w:tcW w:type="dxa" w:w="2088"/>
            <w:vAlign w:val="top"/>
          </w:tcPr>
          <w:p>
            <w:pPr>
              <w:jc w:val="left"/>
            </w:pPr>
            <w:r>
              <w:rPr>
                <w:rFonts w:ascii="Aptos" w:hAnsi="Aptos" w:eastAsia="PingFang SC"/>
                <w:b w:val="0"/>
                <w:sz w:val="16"/>
              </w:rPr>
              <w:t>Custom silicon, PUE improvement, liquid cooling, and inference cost decline release capacity</w:t>
            </w:r>
          </w:p>
        </w:tc>
        <w:tc>
          <w:tcPr>
            <w:tcW w:type="dxa" w:w="3528"/>
            <w:vAlign w:val="top"/>
          </w:tcPr>
          <w:p>
            <w:pPr>
              <w:jc w:val="left"/>
            </w:pPr>
            <w:r>
              <w:rPr>
                <w:rFonts w:ascii="Aptos" w:hAnsi="Aptos" w:eastAsia="PingFang SC"/>
                <w:b w:val="0"/>
                <w:sz w:val="16"/>
              </w:rPr>
              <w:t>Alphabet/Microsoft improve relative position; NVIDIA pricing power is tested</w:t>
            </w:r>
          </w:p>
        </w:tc>
        <w:tc>
          <w:tcPr>
            <w:tcW w:type="dxa" w:w="2448"/>
            <w:vAlign w:val="top"/>
          </w:tcPr>
          <w:p>
            <w:pPr>
              <w:jc w:val="center"/>
            </w:pPr>
            <w:r>
              <w:rPr>
                <w:rFonts w:ascii="Aptos" w:hAnsi="Aptos" w:eastAsia="PingFang SC"/>
                <w:b w:val="0"/>
                <w:sz w:val="16"/>
              </w:rPr>
              <w:t>Favor companies that own efficiency and distribution together</w:t>
            </w:r>
          </w:p>
        </w:tc>
      </w:tr>
      <w:tr>
        <w:tc>
          <w:tcPr>
            <w:tcW w:type="dxa" w:w="1440"/>
            <w:vAlign w:val="top"/>
          </w:tcPr>
          <w:p>
            <w:pPr>
              <w:jc w:val="center"/>
            </w:pPr>
            <w:r>
              <w:rPr>
                <w:rFonts w:ascii="Aptos" w:hAnsi="Aptos" w:eastAsia="PingFang SC"/>
                <w:b w:val="0"/>
                <w:sz w:val="16"/>
              </w:rPr>
              <w:t>Meta Upside Case</w:t>
            </w:r>
          </w:p>
        </w:tc>
        <w:tc>
          <w:tcPr>
            <w:tcW w:type="dxa" w:w="2088"/>
            <w:vAlign w:val="top"/>
          </w:tcPr>
          <w:p>
            <w:pPr>
              <w:jc w:val="left"/>
            </w:pPr>
            <w:r>
              <w:rPr>
                <w:rFonts w:ascii="Aptos" w:hAnsi="Aptos" w:eastAsia="PingFang SC"/>
                <w:b w:val="0"/>
                <w:sz w:val="16"/>
              </w:rPr>
              <w:t>AI ad tools raise ROAS, engagement, messaging revenue, and pricing faster than capex/SBC</w:t>
            </w:r>
          </w:p>
        </w:tc>
        <w:tc>
          <w:tcPr>
            <w:tcW w:type="dxa" w:w="3528"/>
            <w:vAlign w:val="top"/>
          </w:tcPr>
          <w:p>
            <w:pPr>
              <w:jc w:val="left"/>
            </w:pPr>
            <w:r>
              <w:rPr>
                <w:rFonts w:ascii="Aptos" w:hAnsi="Aptos" w:eastAsia="PingFang SC"/>
                <w:b w:val="0"/>
                <w:sz w:val="16"/>
              </w:rPr>
              <w:t>Meta exits loser bucket and regains asset-light platform premium</w:t>
            </w:r>
          </w:p>
        </w:tc>
        <w:tc>
          <w:tcPr>
            <w:tcW w:type="dxa" w:w="2448"/>
            <w:vAlign w:val="top"/>
          </w:tcPr>
          <w:p>
            <w:pPr>
              <w:jc w:val="center"/>
            </w:pPr>
            <w:r>
              <w:rPr>
                <w:rFonts w:ascii="Aptos" w:hAnsi="Aptos" w:eastAsia="PingFang SC"/>
                <w:b w:val="0"/>
                <w:sz w:val="16"/>
              </w:rPr>
              <w:t>Re-rate Meta only after ad efficiency and FCF conversion move together</w:t>
            </w:r>
          </w:p>
        </w:tc>
      </w:tr>
    </w:tbl>
    <w:p/>
    <w:p>
      <w:pPr>
        <w:pStyle w:val="Heading2"/>
      </w:pPr>
      <w:r>
        <w:t>9. Portfolio Implications</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sz w:val="17"/>
              </w:rPr>
              <w:t>Bucket</w:t>
            </w:r>
          </w:p>
        </w:tc>
        <w:tc>
          <w:tcPr>
            <w:tcW w:type="dxa" w:w="2088"/>
            <w:vAlign w:val="top"/>
            <w:shd w:fill="E9EEF6"/>
          </w:tcPr>
          <w:p>
            <w:pPr>
              <w:jc w:val="left"/>
            </w:pPr>
            <w:r>
              <w:rPr>
                <w:rFonts w:ascii="Aptos" w:hAnsi="Aptos" w:eastAsia="PingFang SC"/>
                <w:b/>
                <w:sz w:val="17"/>
              </w:rPr>
              <w:t>Exposure</w:t>
            </w:r>
          </w:p>
        </w:tc>
        <w:tc>
          <w:tcPr>
            <w:tcW w:type="dxa" w:w="3528"/>
            <w:vAlign w:val="top"/>
            <w:shd w:fill="E9EEF6"/>
          </w:tcPr>
          <w:p>
            <w:pPr>
              <w:jc w:val="left"/>
            </w:pPr>
            <w:r>
              <w:rPr>
                <w:rFonts w:ascii="Aptos" w:hAnsi="Aptos" w:eastAsia="PingFang SC"/>
                <w:b/>
                <w:sz w:val="17"/>
              </w:rPr>
              <w:t>Rationale</w:t>
            </w:r>
          </w:p>
        </w:tc>
        <w:tc>
          <w:tcPr>
            <w:tcW w:type="dxa" w:w="2448"/>
            <w:vAlign w:val="top"/>
            <w:shd w:fill="E9EEF6"/>
          </w:tcPr>
          <w:p>
            <w:pPr>
              <w:jc w:val="center"/>
            </w:pPr>
            <w:r>
              <w:rPr>
                <w:rFonts w:ascii="Aptos" w:hAnsi="Aptos" w:eastAsia="PingFang SC"/>
                <w:b/>
                <w:sz w:val="17"/>
              </w:rPr>
              <w:t>Key Checks</w:t>
            </w:r>
          </w:p>
        </w:tc>
      </w:tr>
      <w:tr>
        <w:tc>
          <w:tcPr>
            <w:tcW w:type="dxa" w:w="1440"/>
            <w:vAlign w:val="top"/>
          </w:tcPr>
          <w:p>
            <w:pPr>
              <w:jc w:val="center"/>
            </w:pPr>
            <w:r>
              <w:rPr>
                <w:rFonts w:ascii="Aptos" w:hAnsi="Aptos" w:eastAsia="PingFang SC"/>
                <w:b w:val="0"/>
                <w:sz w:val="16"/>
              </w:rPr>
              <w:t>Defended Leaders</w:t>
            </w:r>
          </w:p>
        </w:tc>
        <w:tc>
          <w:tcPr>
            <w:tcW w:type="dxa" w:w="2088"/>
            <w:vAlign w:val="top"/>
          </w:tcPr>
          <w:p>
            <w:pPr>
              <w:jc w:val="left"/>
            </w:pPr>
            <w:r>
              <w:rPr>
                <w:rFonts w:ascii="Aptos" w:hAnsi="Aptos" w:eastAsia="PingFang SC"/>
                <w:b w:val="0"/>
                <w:sz w:val="16"/>
              </w:rPr>
              <w:t>Microsoft, Alphabet</w:t>
            </w:r>
          </w:p>
        </w:tc>
        <w:tc>
          <w:tcPr>
            <w:tcW w:type="dxa" w:w="3528"/>
            <w:vAlign w:val="top"/>
          </w:tcPr>
          <w:p>
            <w:pPr>
              <w:jc w:val="left"/>
            </w:pPr>
            <w:r>
              <w:rPr>
                <w:rFonts w:ascii="Aptos" w:hAnsi="Aptos" w:eastAsia="PingFang SC"/>
                <w:b w:val="0"/>
                <w:sz w:val="16"/>
              </w:rPr>
              <w:t>Best direct evidence of AI monetization, cloud backlog, and efficiency levers</w:t>
            </w:r>
          </w:p>
        </w:tc>
        <w:tc>
          <w:tcPr>
            <w:tcW w:type="dxa" w:w="2448"/>
            <w:vAlign w:val="top"/>
          </w:tcPr>
          <w:p>
            <w:pPr>
              <w:jc w:val="center"/>
            </w:pPr>
            <w:r>
              <w:rPr>
                <w:rFonts w:ascii="Aptos" w:hAnsi="Aptos" w:eastAsia="PingFang SC"/>
                <w:b w:val="0"/>
                <w:sz w:val="16"/>
              </w:rPr>
              <w:t>Azure growth, Copilot revenue, Google Cloud backlog conversion, TPU/Ironwood economics</w:t>
            </w:r>
          </w:p>
        </w:tc>
      </w:tr>
      <w:tr>
        <w:tc>
          <w:tcPr>
            <w:tcW w:type="dxa" w:w="1440"/>
            <w:vAlign w:val="top"/>
          </w:tcPr>
          <w:p>
            <w:pPr>
              <w:jc w:val="center"/>
            </w:pPr>
            <w:r>
              <w:rPr>
                <w:rFonts w:ascii="Aptos" w:hAnsi="Aptos" w:eastAsia="PingFang SC"/>
                <w:b w:val="0"/>
                <w:sz w:val="16"/>
              </w:rPr>
              <w:t>Payback Tests</w:t>
            </w:r>
          </w:p>
        </w:tc>
        <w:tc>
          <w:tcPr>
            <w:tcW w:type="dxa" w:w="2088"/>
            <w:vAlign w:val="top"/>
          </w:tcPr>
          <w:p>
            <w:pPr>
              <w:jc w:val="left"/>
            </w:pPr>
            <w:r>
              <w:rPr>
                <w:rFonts w:ascii="Aptos" w:hAnsi="Aptos" w:eastAsia="PingFang SC"/>
                <w:b w:val="0"/>
                <w:sz w:val="16"/>
              </w:rPr>
              <w:t>Meta, Amazon</w:t>
            </w:r>
          </w:p>
        </w:tc>
        <w:tc>
          <w:tcPr>
            <w:tcW w:type="dxa" w:w="3528"/>
            <w:vAlign w:val="top"/>
          </w:tcPr>
          <w:p>
            <w:pPr>
              <w:jc w:val="left"/>
            </w:pPr>
            <w:r>
              <w:rPr>
                <w:rFonts w:ascii="Aptos" w:hAnsi="Aptos" w:eastAsia="PingFang SC"/>
                <w:b w:val="0"/>
                <w:sz w:val="16"/>
              </w:rPr>
              <w:t>Real assets and monetization, but cash conversion must catch up with capex, SBC, and depreciation</w:t>
            </w:r>
          </w:p>
        </w:tc>
        <w:tc>
          <w:tcPr>
            <w:tcW w:type="dxa" w:w="2448"/>
            <w:vAlign w:val="top"/>
          </w:tcPr>
          <w:p>
            <w:pPr>
              <w:jc w:val="center"/>
            </w:pPr>
            <w:r>
              <w:rPr>
                <w:rFonts w:ascii="Aptos" w:hAnsi="Aptos" w:eastAsia="PingFang SC"/>
                <w:b w:val="0"/>
                <w:sz w:val="16"/>
              </w:rPr>
              <w:t>Ad ROAS, Reels/messaging monetization, AWS growth, server-life assumptions, FCF</w:t>
            </w:r>
          </w:p>
        </w:tc>
      </w:tr>
      <w:tr>
        <w:tc>
          <w:tcPr>
            <w:tcW w:type="dxa" w:w="1440"/>
            <w:vAlign w:val="top"/>
          </w:tcPr>
          <w:p>
            <w:pPr>
              <w:jc w:val="center"/>
            </w:pPr>
            <w:r>
              <w:rPr>
                <w:rFonts w:ascii="Aptos" w:hAnsi="Aptos" w:eastAsia="PingFang SC"/>
                <w:b w:val="0"/>
                <w:sz w:val="16"/>
              </w:rPr>
              <w:t>Multiple Risk</w:t>
            </w:r>
          </w:p>
        </w:tc>
        <w:tc>
          <w:tcPr>
            <w:tcW w:type="dxa" w:w="2088"/>
            <w:vAlign w:val="top"/>
          </w:tcPr>
          <w:p>
            <w:pPr>
              <w:jc w:val="left"/>
            </w:pPr>
            <w:r>
              <w:rPr>
                <w:rFonts w:ascii="Aptos" w:hAnsi="Aptos" w:eastAsia="PingFang SC"/>
                <w:b w:val="0"/>
                <w:sz w:val="16"/>
              </w:rPr>
              <w:t>NVIDIA</w:t>
            </w:r>
          </w:p>
        </w:tc>
        <w:tc>
          <w:tcPr>
            <w:tcW w:type="dxa" w:w="3528"/>
            <w:vAlign w:val="top"/>
          </w:tcPr>
          <w:p>
            <w:pPr>
              <w:jc w:val="left"/>
            </w:pPr>
            <w:r>
              <w:rPr>
                <w:rFonts w:ascii="Aptos" w:hAnsi="Aptos" w:eastAsia="PingFang SC"/>
                <w:b w:val="0"/>
                <w:sz w:val="16"/>
              </w:rPr>
              <w:t>Strong fundamentals but vulnerable to custom silicon, hyperscaler bargaining, broader hardware profit-pool rotation, and post-earnings tape failing to confirm the earnings beat</w:t>
            </w:r>
          </w:p>
        </w:tc>
        <w:tc>
          <w:tcPr>
            <w:tcW w:type="dxa" w:w="2448"/>
            <w:vAlign w:val="top"/>
          </w:tcPr>
          <w:p>
            <w:pPr>
              <w:jc w:val="center"/>
            </w:pPr>
            <w:r>
              <w:rPr>
                <w:rFonts w:ascii="Aptos" w:hAnsi="Aptos" w:eastAsia="PingFang SC"/>
                <w:b w:val="0"/>
                <w:sz w:val="16"/>
              </w:rPr>
              <w:t>Gross margin, cloud capex guidance, ASIC penetration, CoWoS/HBM/networking allocation, relative strength versus MU/AMD/DELL/ASTS</w:t>
            </w:r>
          </w:p>
        </w:tc>
      </w:tr>
      <w:tr>
        <w:tc>
          <w:tcPr>
            <w:tcW w:type="dxa" w:w="1440"/>
            <w:vAlign w:val="top"/>
          </w:tcPr>
          <w:p>
            <w:pPr>
              <w:jc w:val="center"/>
            </w:pPr>
            <w:r>
              <w:rPr>
                <w:rFonts w:ascii="Aptos" w:hAnsi="Aptos" w:eastAsia="PingFang SC"/>
                <w:b w:val="0"/>
                <w:sz w:val="16"/>
              </w:rPr>
              <w:t>Strategic Relative Losers</w:t>
            </w:r>
          </w:p>
        </w:tc>
        <w:tc>
          <w:tcPr>
            <w:tcW w:type="dxa" w:w="2088"/>
            <w:vAlign w:val="top"/>
          </w:tcPr>
          <w:p>
            <w:pPr>
              <w:jc w:val="left"/>
            </w:pPr>
            <w:r>
              <w:rPr>
                <w:rFonts w:ascii="Aptos" w:hAnsi="Aptos" w:eastAsia="PingFang SC"/>
                <w:b w:val="0"/>
                <w:sz w:val="16"/>
              </w:rPr>
              <w:t>Apple, Tesla</w:t>
            </w:r>
          </w:p>
        </w:tc>
        <w:tc>
          <w:tcPr>
            <w:tcW w:type="dxa" w:w="3528"/>
            <w:vAlign w:val="top"/>
          </w:tcPr>
          <w:p>
            <w:pPr>
              <w:jc w:val="left"/>
            </w:pPr>
            <w:r>
              <w:rPr>
                <w:rFonts w:ascii="Aptos" w:hAnsi="Aptos" w:eastAsia="PingFang SC"/>
                <w:b w:val="0"/>
                <w:sz w:val="16"/>
              </w:rPr>
              <w:t>Sparse direct evidence in the corpus-validated AI infrastructure and capex-to-FCF chain</w:t>
            </w:r>
          </w:p>
        </w:tc>
        <w:tc>
          <w:tcPr>
            <w:tcW w:type="dxa" w:w="2448"/>
            <w:vAlign w:val="top"/>
          </w:tcPr>
          <w:p>
            <w:pPr>
              <w:jc w:val="center"/>
            </w:pPr>
            <w:r>
              <w:rPr>
                <w:rFonts w:ascii="Aptos" w:hAnsi="Aptos" w:eastAsia="PingFang SC"/>
                <w:b w:val="0"/>
                <w:sz w:val="16"/>
              </w:rPr>
              <w:t>Device AI ARPU, replacement cycles, autonomy/robotics unit economics, recurring cash flow</w:t>
            </w:r>
          </w:p>
        </w:tc>
      </w:tr>
    </w:tbl>
    <w:p/>
    <w:p>
      <w:pPr>
        <w:pStyle w:val="Heading2"/>
      </w:pPr>
      <w:r>
        <w:t>10. Monitoring Dashboard</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sz w:val="17"/>
              </w:rPr>
              <w:t>Dimension</w:t>
            </w:r>
          </w:p>
        </w:tc>
        <w:tc>
          <w:tcPr>
            <w:tcW w:type="dxa" w:w="2088"/>
            <w:vAlign w:val="top"/>
            <w:shd w:fill="E9EEF6"/>
          </w:tcPr>
          <w:p>
            <w:pPr>
              <w:jc w:val="left"/>
            </w:pPr>
            <w:r>
              <w:rPr>
                <w:rFonts w:ascii="Aptos" w:hAnsi="Aptos" w:eastAsia="PingFang SC"/>
                <w:b/>
                <w:sz w:val="17"/>
              </w:rPr>
              <w:t>Indicator</w:t>
            </w:r>
          </w:p>
        </w:tc>
        <w:tc>
          <w:tcPr>
            <w:tcW w:type="dxa" w:w="3528"/>
            <w:vAlign w:val="top"/>
            <w:shd w:fill="E9EEF6"/>
          </w:tcPr>
          <w:p>
            <w:pPr>
              <w:jc w:val="left"/>
            </w:pPr>
            <w:r>
              <w:rPr>
                <w:rFonts w:ascii="Aptos" w:hAnsi="Aptos" w:eastAsia="PingFang SC"/>
                <w:b/>
                <w:sz w:val="17"/>
              </w:rPr>
              <w:t>Interpretation</w:t>
            </w:r>
          </w:p>
        </w:tc>
        <w:tc>
          <w:tcPr>
            <w:tcW w:type="dxa" w:w="2448"/>
            <w:vAlign w:val="top"/>
            <w:shd w:fill="E9EEF6"/>
          </w:tcPr>
          <w:p>
            <w:pPr>
              <w:jc w:val="center"/>
            </w:pPr>
            <w:r>
              <w:rPr>
                <w:rFonts w:ascii="Aptos" w:hAnsi="Aptos" w:eastAsia="PingFang SC"/>
                <w:b/>
                <w:sz w:val="17"/>
              </w:rPr>
              <w:t>Evidence Source</w:t>
            </w:r>
          </w:p>
        </w:tc>
      </w:tr>
      <w:tr>
        <w:tc>
          <w:tcPr>
            <w:tcW w:type="dxa" w:w="1440"/>
            <w:vAlign w:val="top"/>
          </w:tcPr>
          <w:p>
            <w:pPr>
              <w:jc w:val="center"/>
            </w:pPr>
            <w:r>
              <w:rPr>
                <w:rFonts w:ascii="Aptos" w:hAnsi="Aptos" w:eastAsia="PingFang SC"/>
                <w:b w:val="0"/>
                <w:sz w:val="16"/>
              </w:rPr>
              <w:t>Capex Commitment</w:t>
            </w:r>
          </w:p>
        </w:tc>
        <w:tc>
          <w:tcPr>
            <w:tcW w:type="dxa" w:w="2088"/>
            <w:vAlign w:val="top"/>
          </w:tcPr>
          <w:p>
            <w:pPr>
              <w:jc w:val="left"/>
            </w:pPr>
            <w:r>
              <w:rPr>
                <w:rFonts w:ascii="Aptos" w:hAnsi="Aptos" w:eastAsia="PingFang SC"/>
                <w:b w:val="0"/>
                <w:sz w:val="16"/>
              </w:rPr>
              <w:t>MSFT/GOOGL/META/AMZN quarterly capex and lease disclosures</w:t>
            </w:r>
          </w:p>
        </w:tc>
        <w:tc>
          <w:tcPr>
            <w:tcW w:type="dxa" w:w="3528"/>
            <w:vAlign w:val="top"/>
          </w:tcPr>
          <w:p>
            <w:pPr>
              <w:jc w:val="left"/>
            </w:pPr>
            <w:r>
              <w:rPr>
                <w:rFonts w:ascii="Aptos" w:hAnsi="Aptos" w:eastAsia="PingFang SC"/>
                <w:b w:val="0"/>
                <w:sz w:val="16"/>
              </w:rPr>
              <w:t>High capex is positive only if backlog and utilization improve</w:t>
            </w:r>
          </w:p>
        </w:tc>
        <w:tc>
          <w:tcPr>
            <w:tcW w:type="dxa" w:w="2448"/>
            <w:vAlign w:val="top"/>
          </w:tcPr>
          <w:p>
            <w:pPr>
              <w:jc w:val="center"/>
            </w:pPr>
            <w:r>
              <w:rPr>
                <w:rFonts w:ascii="Aptos" w:hAnsi="Aptos" w:eastAsia="PingFang SC"/>
                <w:b w:val="0"/>
                <w:sz w:val="16"/>
              </w:rPr>
              <w:t>Evidence 1, 4, 5, 6</w:t>
            </w:r>
          </w:p>
        </w:tc>
      </w:tr>
      <w:tr>
        <w:tc>
          <w:tcPr>
            <w:tcW w:type="dxa" w:w="1440"/>
            <w:vAlign w:val="top"/>
          </w:tcPr>
          <w:p>
            <w:pPr>
              <w:jc w:val="center"/>
            </w:pPr>
            <w:r>
              <w:rPr>
                <w:rFonts w:ascii="Aptos" w:hAnsi="Aptos" w:eastAsia="PingFang SC"/>
                <w:b w:val="0"/>
                <w:sz w:val="16"/>
              </w:rPr>
              <w:t>Monetization Density</w:t>
            </w:r>
          </w:p>
        </w:tc>
        <w:tc>
          <w:tcPr>
            <w:tcW w:type="dxa" w:w="2088"/>
            <w:vAlign w:val="top"/>
          </w:tcPr>
          <w:p>
            <w:pPr>
              <w:jc w:val="left"/>
            </w:pPr>
            <w:r>
              <w:rPr>
                <w:rFonts w:ascii="Aptos" w:hAnsi="Aptos" w:eastAsia="PingFang SC"/>
                <w:b w:val="0"/>
                <w:sz w:val="16"/>
              </w:rPr>
              <w:t>AI ARR, Copilot uptake, Google Cloud operating profit, ad ROAS, AWS AI revenue</w:t>
            </w:r>
          </w:p>
        </w:tc>
        <w:tc>
          <w:tcPr>
            <w:tcW w:type="dxa" w:w="3528"/>
            <w:vAlign w:val="top"/>
          </w:tcPr>
          <w:p>
            <w:pPr>
              <w:jc w:val="left"/>
            </w:pPr>
            <w:r>
              <w:rPr>
                <w:rFonts w:ascii="Aptos" w:hAnsi="Aptos" w:eastAsia="PingFang SC"/>
                <w:b w:val="0"/>
                <w:sz w:val="16"/>
              </w:rPr>
              <w:t>Converts narrative into measurable revenue density</w:t>
            </w:r>
          </w:p>
        </w:tc>
        <w:tc>
          <w:tcPr>
            <w:tcW w:type="dxa" w:w="2448"/>
            <w:vAlign w:val="top"/>
          </w:tcPr>
          <w:p>
            <w:pPr>
              <w:jc w:val="center"/>
            </w:pPr>
            <w:r>
              <w:rPr>
                <w:rFonts w:ascii="Aptos" w:hAnsi="Aptos" w:eastAsia="PingFang SC"/>
                <w:b w:val="0"/>
                <w:sz w:val="16"/>
              </w:rPr>
              <w:t>Evidence 5, 13</w:t>
            </w:r>
          </w:p>
        </w:tc>
      </w:tr>
      <w:tr>
        <w:tc>
          <w:tcPr>
            <w:tcW w:type="dxa" w:w="1440"/>
            <w:vAlign w:val="top"/>
          </w:tcPr>
          <w:p>
            <w:pPr>
              <w:jc w:val="center"/>
            </w:pPr>
            <w:r>
              <w:rPr>
                <w:rFonts w:ascii="Aptos" w:hAnsi="Aptos" w:eastAsia="PingFang SC"/>
                <w:b w:val="0"/>
                <w:sz w:val="16"/>
              </w:rPr>
              <w:t>FCF Conversion</w:t>
            </w:r>
          </w:p>
        </w:tc>
        <w:tc>
          <w:tcPr>
            <w:tcW w:type="dxa" w:w="2088"/>
            <w:vAlign w:val="top"/>
          </w:tcPr>
          <w:p>
            <w:pPr>
              <w:jc w:val="left"/>
            </w:pPr>
            <w:r>
              <w:rPr>
                <w:rFonts w:ascii="Aptos" w:hAnsi="Aptos" w:eastAsia="PingFang SC"/>
                <w:b w:val="0"/>
                <w:sz w:val="16"/>
              </w:rPr>
              <w:t>FCF margin, depreciation, economic server life, finance leases</w:t>
            </w:r>
          </w:p>
        </w:tc>
        <w:tc>
          <w:tcPr>
            <w:tcW w:type="dxa" w:w="3528"/>
            <w:vAlign w:val="top"/>
          </w:tcPr>
          <w:p>
            <w:pPr>
              <w:jc w:val="left"/>
            </w:pPr>
            <w:r>
              <w:rPr>
                <w:rFonts w:ascii="Aptos" w:hAnsi="Aptos" w:eastAsia="PingFang SC"/>
                <w:b w:val="0"/>
                <w:sz w:val="16"/>
              </w:rPr>
              <w:t>Tests whether capex is becoming shareholder cash</w:t>
            </w:r>
          </w:p>
        </w:tc>
        <w:tc>
          <w:tcPr>
            <w:tcW w:type="dxa" w:w="2448"/>
            <w:vAlign w:val="top"/>
          </w:tcPr>
          <w:p>
            <w:pPr>
              <w:jc w:val="center"/>
            </w:pPr>
            <w:r>
              <w:rPr>
                <w:rFonts w:ascii="Aptos" w:hAnsi="Aptos" w:eastAsia="PingFang SC"/>
                <w:b w:val="0"/>
                <w:sz w:val="16"/>
              </w:rPr>
              <w:t>Evidence 4, 10</w:t>
            </w:r>
          </w:p>
        </w:tc>
      </w:tr>
      <w:tr>
        <w:tc>
          <w:tcPr>
            <w:tcW w:type="dxa" w:w="1440"/>
            <w:vAlign w:val="top"/>
          </w:tcPr>
          <w:p>
            <w:pPr>
              <w:jc w:val="center"/>
            </w:pPr>
            <w:r>
              <w:rPr>
                <w:rFonts w:ascii="Aptos" w:hAnsi="Aptos" w:eastAsia="PingFang SC"/>
                <w:b w:val="0"/>
                <w:sz w:val="16"/>
              </w:rPr>
              <w:t>Talent Inflation</w:t>
            </w:r>
          </w:p>
        </w:tc>
        <w:tc>
          <w:tcPr>
            <w:tcW w:type="dxa" w:w="2088"/>
            <w:vAlign w:val="top"/>
          </w:tcPr>
          <w:p>
            <w:pPr>
              <w:jc w:val="left"/>
            </w:pPr>
            <w:r>
              <w:rPr>
                <w:rFonts w:ascii="Aptos" w:hAnsi="Aptos" w:eastAsia="PingFang SC"/>
                <w:b w:val="0"/>
                <w:sz w:val="16"/>
              </w:rPr>
              <w:t>SBC as percentage of revenue and AI/Infra hiring</w:t>
            </w:r>
          </w:p>
        </w:tc>
        <w:tc>
          <w:tcPr>
            <w:tcW w:type="dxa" w:w="3528"/>
            <w:vAlign w:val="top"/>
          </w:tcPr>
          <w:p>
            <w:pPr>
              <w:jc w:val="left"/>
            </w:pPr>
            <w:r>
              <w:rPr>
                <w:rFonts w:ascii="Aptos" w:hAnsi="Aptos" w:eastAsia="PingFang SC"/>
                <w:b w:val="0"/>
                <w:sz w:val="16"/>
              </w:rPr>
              <w:t>Captures delayed EPS and dilution pressure</w:t>
            </w:r>
          </w:p>
        </w:tc>
        <w:tc>
          <w:tcPr>
            <w:tcW w:type="dxa" w:w="2448"/>
            <w:vAlign w:val="top"/>
          </w:tcPr>
          <w:p>
            <w:pPr>
              <w:jc w:val="center"/>
            </w:pPr>
            <w:r>
              <w:rPr>
                <w:rFonts w:ascii="Aptos" w:hAnsi="Aptos" w:eastAsia="PingFang SC"/>
                <w:b w:val="0"/>
                <w:sz w:val="16"/>
              </w:rPr>
              <w:t>Evidence 2</w:t>
            </w:r>
          </w:p>
        </w:tc>
      </w:tr>
      <w:tr>
        <w:tc>
          <w:tcPr>
            <w:tcW w:type="dxa" w:w="1440"/>
            <w:vAlign w:val="top"/>
          </w:tcPr>
          <w:p>
            <w:pPr>
              <w:jc w:val="center"/>
            </w:pPr>
            <w:r>
              <w:rPr>
                <w:rFonts w:ascii="Aptos" w:hAnsi="Aptos" w:eastAsia="PingFang SC"/>
                <w:b w:val="0"/>
                <w:sz w:val="16"/>
              </w:rPr>
              <w:t>Power Constraint</w:t>
            </w:r>
          </w:p>
        </w:tc>
        <w:tc>
          <w:tcPr>
            <w:tcW w:type="dxa" w:w="2088"/>
            <w:vAlign w:val="top"/>
          </w:tcPr>
          <w:p>
            <w:pPr>
              <w:jc w:val="left"/>
            </w:pPr>
            <w:r>
              <w:rPr>
                <w:rFonts w:ascii="Aptos" w:hAnsi="Aptos" w:eastAsia="PingFang SC"/>
                <w:b w:val="0"/>
                <w:sz w:val="16"/>
              </w:rPr>
              <w:t>PUE, grid interconnection, firm power, data-center siting</w:t>
            </w:r>
          </w:p>
        </w:tc>
        <w:tc>
          <w:tcPr>
            <w:tcW w:type="dxa" w:w="3528"/>
            <w:vAlign w:val="top"/>
          </w:tcPr>
          <w:p>
            <w:pPr>
              <w:jc w:val="left"/>
            </w:pPr>
            <w:r>
              <w:rPr>
                <w:rFonts w:ascii="Aptos" w:hAnsi="Aptos" w:eastAsia="PingFang SC"/>
                <w:b w:val="0"/>
                <w:sz w:val="16"/>
              </w:rPr>
              <w:t>Determines live capacity and cost curve</w:t>
            </w:r>
          </w:p>
        </w:tc>
        <w:tc>
          <w:tcPr>
            <w:tcW w:type="dxa" w:w="2448"/>
            <w:vAlign w:val="top"/>
          </w:tcPr>
          <w:p>
            <w:pPr>
              <w:jc w:val="center"/>
            </w:pPr>
            <w:r>
              <w:rPr>
                <w:rFonts w:ascii="Aptos" w:hAnsi="Aptos" w:eastAsia="PingFang SC"/>
                <w:b w:val="0"/>
                <w:sz w:val="16"/>
              </w:rPr>
              <w:t>Evidence 7, 8, 11, 12</w:t>
            </w:r>
          </w:p>
        </w:tc>
      </w:tr>
      <w:tr>
        <w:tc>
          <w:tcPr>
            <w:tcW w:type="dxa" w:w="1440"/>
            <w:vAlign w:val="top"/>
          </w:tcPr>
          <w:p>
            <w:pPr>
              <w:jc w:val="center"/>
            </w:pPr>
            <w:r>
              <w:rPr>
                <w:rFonts w:ascii="Aptos" w:hAnsi="Aptos" w:eastAsia="PingFang SC"/>
                <w:b w:val="0"/>
                <w:sz w:val="16"/>
              </w:rPr>
              <w:t>Architecture Shift</w:t>
            </w:r>
          </w:p>
        </w:tc>
        <w:tc>
          <w:tcPr>
            <w:tcW w:type="dxa" w:w="2088"/>
            <w:vAlign w:val="top"/>
          </w:tcPr>
          <w:p>
            <w:pPr>
              <w:jc w:val="left"/>
            </w:pPr>
            <w:r>
              <w:rPr>
                <w:rFonts w:ascii="Aptos" w:hAnsi="Aptos" w:eastAsia="PingFang SC"/>
                <w:b w:val="0"/>
                <w:sz w:val="16"/>
              </w:rPr>
              <w:t>TPU, Trainium/Inferentia, MTIA, Maia, CSP ASIC adoption</w:t>
            </w:r>
          </w:p>
        </w:tc>
        <w:tc>
          <w:tcPr>
            <w:tcW w:type="dxa" w:w="3528"/>
            <w:vAlign w:val="top"/>
          </w:tcPr>
          <w:p>
            <w:pPr>
              <w:jc w:val="left"/>
            </w:pPr>
            <w:r>
              <w:rPr>
                <w:rFonts w:ascii="Aptos" w:hAnsi="Aptos" w:eastAsia="PingFang SC"/>
                <w:b w:val="0"/>
                <w:sz w:val="16"/>
              </w:rPr>
              <w:t>Reallocates margin away from general-purpose GPU scarcity</w:t>
            </w:r>
          </w:p>
        </w:tc>
        <w:tc>
          <w:tcPr>
            <w:tcW w:type="dxa" w:w="2448"/>
            <w:vAlign w:val="top"/>
          </w:tcPr>
          <w:p>
            <w:pPr>
              <w:jc w:val="center"/>
            </w:pPr>
            <w:r>
              <w:rPr>
                <w:rFonts w:ascii="Aptos" w:hAnsi="Aptos" w:eastAsia="PingFang SC"/>
                <w:b w:val="0"/>
                <w:sz w:val="16"/>
              </w:rPr>
              <w:t>Evidence 9, 11</w:t>
            </w:r>
          </w:p>
        </w:tc>
      </w:tr>
      <w:tr>
        <w:tc>
          <w:tcPr>
            <w:tcW w:type="dxa" w:w="1440"/>
            <w:vAlign w:val="top"/>
          </w:tcPr>
          <w:p>
            <w:pPr>
              <w:jc w:val="center"/>
            </w:pPr>
            <w:r>
              <w:rPr>
                <w:rFonts w:ascii="Aptos" w:hAnsi="Aptos" w:eastAsia="PingFang SC"/>
                <w:b w:val="0"/>
                <w:sz w:val="16"/>
              </w:rPr>
              <w:t>Duration Risk</w:t>
            </w:r>
          </w:p>
        </w:tc>
        <w:tc>
          <w:tcPr>
            <w:tcW w:type="dxa" w:w="2088"/>
            <w:vAlign w:val="top"/>
          </w:tcPr>
          <w:p>
            <w:pPr>
              <w:jc w:val="left"/>
            </w:pPr>
            <w:r>
              <w:rPr>
                <w:rFonts w:ascii="Aptos" w:hAnsi="Aptos" w:eastAsia="PingFang SC"/>
                <w:b w:val="0"/>
                <w:sz w:val="16"/>
              </w:rPr>
              <w:t>Long real rates and equity multiples</w:t>
            </w:r>
          </w:p>
        </w:tc>
        <w:tc>
          <w:tcPr>
            <w:tcW w:type="dxa" w:w="3528"/>
            <w:vAlign w:val="top"/>
          </w:tcPr>
          <w:p>
            <w:pPr>
              <w:jc w:val="left"/>
            </w:pPr>
            <w:r>
              <w:rPr>
                <w:rFonts w:ascii="Aptos" w:hAnsi="Aptos" w:eastAsia="PingFang SC"/>
                <w:b w:val="0"/>
                <w:sz w:val="16"/>
              </w:rPr>
              <w:t>Penalizes unproven optionality</w:t>
            </w:r>
          </w:p>
        </w:tc>
        <w:tc>
          <w:tcPr>
            <w:tcW w:type="dxa" w:w="2448"/>
            <w:vAlign w:val="top"/>
          </w:tcPr>
          <w:p>
            <w:pPr>
              <w:jc w:val="center"/>
            </w:pPr>
            <w:r>
              <w:rPr>
                <w:rFonts w:ascii="Aptos" w:hAnsi="Aptos" w:eastAsia="PingFang SC"/>
                <w:b w:val="0"/>
                <w:sz w:val="16"/>
              </w:rPr>
              <w:t>Evidence 3</w:t>
            </w:r>
          </w:p>
        </w:tc>
      </w:tr>
      <w:tr>
        <w:tc>
          <w:tcPr>
            <w:tcW w:type="dxa" w:w="1440"/>
            <w:vAlign w:val="top"/>
          </w:tcPr>
          <w:p>
            <w:pPr>
              <w:jc w:val="center"/>
            </w:pPr>
            <w:r>
              <w:rPr>
                <w:rFonts w:ascii="Aptos" w:hAnsi="Aptos" w:eastAsia="PingFang SC"/>
                <w:b w:val="0"/>
                <w:sz w:val="16"/>
              </w:rPr>
              <w:t>Tactical Tape</w:t>
            </w:r>
          </w:p>
        </w:tc>
        <w:tc>
          <w:tcPr>
            <w:tcW w:type="dxa" w:w="2088"/>
            <w:vAlign w:val="top"/>
          </w:tcPr>
          <w:p>
            <w:pPr>
              <w:jc w:val="left"/>
            </w:pPr>
            <w:r>
              <w:rPr>
                <w:rFonts w:ascii="Aptos" w:hAnsi="Aptos" w:eastAsia="PingFang SC"/>
                <w:b w:val="0"/>
                <w:sz w:val="16"/>
              </w:rPr>
              <w:t>NVDA versus MU/AMD/DELL/ASTS in the first 90 minutes of the 2026-05-26 cash session</w:t>
            </w:r>
          </w:p>
        </w:tc>
        <w:tc>
          <w:tcPr>
            <w:tcW w:type="dxa" w:w="3528"/>
            <w:vAlign w:val="top"/>
          </w:tcPr>
          <w:p>
            <w:pPr>
              <w:jc w:val="left"/>
            </w:pPr>
            <w:r>
              <w:rPr>
                <w:rFonts w:ascii="Aptos" w:hAnsi="Aptos" w:eastAsia="PingFang SC"/>
                <w:b w:val="0"/>
                <w:sz w:val="16"/>
              </w:rPr>
              <w:t>Confirms whether post-weekend money returns to NVDA or rotates to alternative AI infrastructure beta</w:t>
            </w:r>
          </w:p>
        </w:tc>
        <w:tc>
          <w:tcPr>
            <w:tcW w:type="dxa" w:w="2448"/>
            <w:vAlign w:val="top"/>
          </w:tcPr>
          <w:p>
            <w:pPr>
              <w:jc w:val="center"/>
            </w:pPr>
            <w:r>
              <w:rPr>
                <w:rFonts w:ascii="Aptos" w:hAnsi="Aptos" w:eastAsia="PingFang SC"/>
                <w:b w:val="0"/>
                <w:sz w:val="16"/>
              </w:rPr>
              <w:t>Evidence 15, 18, 20, 21, 23</w:t>
            </w:r>
          </w:p>
        </w:tc>
      </w:tr>
      <w:tr>
        <w:tc>
          <w:tcPr>
            <w:tcW w:type="dxa" w:w="1440"/>
            <w:vAlign w:val="top"/>
          </w:tcPr>
          <w:p>
            <w:pPr>
              <w:jc w:val="center"/>
            </w:pPr>
            <w:r>
              <w:rPr>
                <w:rFonts w:ascii="Aptos" w:hAnsi="Aptos" w:eastAsia="PingFang SC"/>
                <w:b w:val="0"/>
                <w:sz w:val="16"/>
              </w:rPr>
              <w:t>Social Attention Quality</w:t>
            </w:r>
          </w:p>
        </w:tc>
        <w:tc>
          <w:tcPr>
            <w:tcW w:type="dxa" w:w="2088"/>
            <w:vAlign w:val="top"/>
          </w:tcPr>
          <w:p>
            <w:pPr>
              <w:jc w:val="left"/>
            </w:pPr>
            <w:r>
              <w:rPr>
                <w:rFonts w:ascii="Aptos" w:hAnsi="Aptos" w:eastAsia="PingFang SC"/>
                <w:b w:val="0"/>
                <w:sz w:val="16"/>
              </w:rPr>
              <w:t>RDDT-style mention/price divergence and TSLA attention without leadership</w:t>
            </w:r>
          </w:p>
        </w:tc>
        <w:tc>
          <w:tcPr>
            <w:tcW w:type="dxa" w:w="3528"/>
            <w:vAlign w:val="top"/>
          </w:tcPr>
          <w:p>
            <w:pPr>
              <w:jc w:val="left"/>
            </w:pPr>
            <w:r>
              <w:rPr>
                <w:rFonts w:ascii="Aptos" w:hAnsi="Aptos" w:eastAsia="PingFang SC"/>
                <w:b w:val="0"/>
                <w:sz w:val="16"/>
              </w:rPr>
              <w:t>Separates true incremental buying from noisy social discussion</w:t>
            </w:r>
          </w:p>
        </w:tc>
        <w:tc>
          <w:tcPr>
            <w:tcW w:type="dxa" w:w="2448"/>
            <w:vAlign w:val="top"/>
          </w:tcPr>
          <w:p>
            <w:pPr>
              <w:jc w:val="center"/>
            </w:pPr>
            <w:r>
              <w:rPr>
                <w:rFonts w:ascii="Aptos" w:hAnsi="Aptos" w:eastAsia="PingFang SC"/>
                <w:b w:val="0"/>
                <w:sz w:val="16"/>
              </w:rPr>
              <w:t>Evidence 22, 23</w:t>
            </w:r>
          </w:p>
        </w:tc>
      </w:tr>
    </w:tbl>
    <w:p/>
    <w:p>
      <w:pPr>
        <w:pStyle w:val="Heading2"/>
      </w:pPr>
      <w:r>
        <w:t>11. Verdict</w:t>
      </w:r>
    </w:p>
    <w:p>
      <w:r>
        <w:t>The most precise answer is three-layered:</w:t>
      </w:r>
    </w:p>
    <w:p>
      <w:r>
        <w:t>1. **Strategic relative loser: Apple.** It is least represented in the AI Institute's validated next-era chain of cloud AI, power, inference economics, custom silicon, and capex-to-FCF conversion. That makes it most vulnerable to losing Mag7 leadership premium.</w:t>
      </w:r>
    </w:p>
    <w:p>
      <w:r>
        <w:t>2. **Direct P&amp;L/FCF loser candidate: Meta.** Among the names with direct evidence, Meta has the clearest payback-period test because AI costs are immediate while incremental ad and messaging monetization must keep proving itself.</w:t>
      </w:r>
    </w:p>
    <w:p>
      <w:r>
        <w:t>3. **Valuation loser candidate: NVIDIA.** NVIDIA is still a fundamental AI winner, and the expanded source set reinforces that point. The risk is more precise: scarcity multiple can compress as the profit pool broadens to ASICs, networking, HBM, CoWoS, ODMs, power equipment, efficiency, and retail attention migrates to alternative AI-infrastructure beta after strong earnings.</w:t>
      </w:r>
    </w:p>
    <w:p>
      <w:r>
        <w:t>Microsoft and Alphabet are the best defended. Amazon sits in the middle. Tesla is a narrative-duration risk unless autonomy or robotics turns into measurable recurring cash flow. The weekend viral-market evidence adds a timing layer: the 2026-05-26 U.S. cash open should show whether money returns to NVDA or keeps rotating into MU/AMD/DELL/ASTS-style alternatives. The next era will not simply reward "AI exposure"; it will reward **proved conversion of AI capex into high-density revenue, lower unit cost, and free cash flow**.</w:t>
      </w:r>
    </w:p>
    <w:sectPr w:rsidR="00FC693F" w:rsidRPr="0006063C" w:rsidSect="0003461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PingFang S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PingFang SC"/>
      <w:b/>
      <w:bCs/>
      <w:color w:val="285B9D"/>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PingFang SC"/>
      <w:b/>
      <w:bCs/>
      <w:color w:val="237A5B"/>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PingFang SC"/>
      <w:b/>
      <w:bCs/>
      <w:color w:val="475569"/>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PingFang SC"/>
      <w:color w:val="172033"/>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