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64" w:lineRule="auto"/>
      </w:pPr>
      <w:r>
        <w:rPr>
          <w:rFonts w:ascii="Calibri" w:hAnsi="Calibri" w:eastAsia="Arial Unicode MS"/>
          <w:b/>
          <w:i w:val="0"/>
          <w:color w:val="285B9D"/>
          <w:sz w:val="20"/>
        </w:rPr>
        <w:t>AI Institute</w:t>
      </w:r>
    </w:p>
    <w:p>
      <w:pPr>
        <w:pStyle w:val="Title"/>
        <w:spacing w:before="0" w:after="80" w:line="264" w:lineRule="auto"/>
      </w:pPr>
      <w:r>
        <w:rPr>
          <w:rFonts w:ascii="Calibri" w:hAnsi="Calibri" w:eastAsia="Arial Unicode MS"/>
          <w:b w:val="0"/>
          <w:i w:val="0"/>
        </w:rPr>
        <w:t>每日投资研究简报</w:t>
      </w:r>
    </w:p>
    <w:p>
      <w:pPr>
        <w:pStyle w:val="Subtitle"/>
        <w:spacing w:before="0" w:after="240" w:line="264" w:lineRule="auto"/>
      </w:pPr>
      <w:r>
        <w:rPr>
          <w:rFonts w:ascii="Calibri" w:hAnsi="Calibri" w:eastAsia="Arial Unicode MS"/>
          <w:b w:val="0"/>
          <w:i w:val="0"/>
        </w:rPr>
        <w:t>2026-08-20 · webpage screenshot DOCX edition</w:t>
      </w:r>
    </w:p>
    <w:p>
      <w:pPr>
        <w:spacing w:before="0" w:after="160" w:line="264" w:lineRule="auto"/>
      </w:pPr>
      <w:r>
        <w:rPr>
          <w:rFonts w:ascii="Calibri" w:hAnsi="Calibri" w:eastAsia="Arial Unicode MS"/>
          <w:b/>
          <w:i w:val="0"/>
          <w:color w:val="0B2545"/>
          <w:sz w:val="34"/>
        </w:rPr>
        <w:t>宏观通胀传导仍是今日主线，AI 基础设施提供第二层验证。</w:t>
      </w:r>
    </w:p>
    <w:p>
      <w:pPr>
        <w:spacing w:before="0" w:after="240" w:line="264" w:lineRule="auto"/>
      </w:pPr>
      <w:r>
        <w:rPr>
          <w:rFonts w:ascii="Calibri" w:hAnsi="Calibri" w:eastAsia="Arial Unicode MS"/>
          <w:b w:val="0"/>
          <w:i w:val="0"/>
          <w:color w:val="334155"/>
          <w:sz w:val="22"/>
        </w:rPr>
        <w:t>2026-08-20 共纳入 76 篇中文研究结果，覆盖 0 位活跃分析师和 5 条主要行业链，较 2026-08-19 的主题变化可在右侧动量表中核对。简报优先呈现可被报告链接追溯的结论，而不是孤立摘要。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vAlign w:val="center"/>
            <w:shd w:fill="F8FAFC"/>
          </w:tcPr>
          <w:p>
            <w:pPr>
              <w:spacing w:after="40"/>
            </w:pPr>
            <w:r>
              <w:rPr>
                <w:rFonts w:ascii="Calibri" w:hAnsi="Calibri" w:eastAsia="Arial Unicode MS"/>
                <w:b/>
                <w:color w:val="667085"/>
                <w:sz w:val="17"/>
              </w:rPr>
              <w:t>今日报告</w:t>
              <w:br/>
            </w:r>
            <w:r>
              <w:rPr>
                <w:rFonts w:ascii="Calibri" w:hAnsi="Calibri" w:eastAsia="Arial Unicode MS"/>
                <w:b/>
                <w:color w:val="285B9D"/>
                <w:sz w:val="36"/>
              </w:rPr>
              <w:t>76</w:t>
            </w:r>
          </w:p>
        </w:tc>
        <w:tc>
          <w:tcPr>
            <w:tcW w:type="dxa" w:w="2340"/>
            <w:vAlign w:val="center"/>
            <w:shd w:fill="F8FAFC"/>
          </w:tcPr>
          <w:p>
            <w:pPr>
              <w:spacing w:after="40"/>
            </w:pPr>
            <w:r>
              <w:rPr>
                <w:rFonts w:ascii="Calibri" w:hAnsi="Calibri" w:eastAsia="Arial Unicode MS"/>
                <w:b/>
                <w:color w:val="667085"/>
                <w:sz w:val="17"/>
              </w:rPr>
              <w:t>活跃分析师</w:t>
              <w:br/>
            </w:r>
            <w:r>
              <w:rPr>
                <w:rFonts w:ascii="Calibri" w:hAnsi="Calibri" w:eastAsia="Arial Unicode MS"/>
                <w:b/>
                <w:color w:val="237A5B"/>
                <w:sz w:val="36"/>
              </w:rPr>
              <w:t>0</w:t>
            </w:r>
          </w:p>
        </w:tc>
        <w:tc>
          <w:tcPr>
            <w:tcW w:type="dxa" w:w="2340"/>
            <w:vAlign w:val="center"/>
            <w:shd w:fill="F8FAFC"/>
          </w:tcPr>
          <w:p>
            <w:pPr>
              <w:spacing w:after="40"/>
            </w:pPr>
            <w:r>
              <w:rPr>
                <w:rFonts w:ascii="Calibri" w:hAnsi="Calibri" w:eastAsia="Arial Unicode MS"/>
                <w:b/>
                <w:color w:val="667085"/>
                <w:sz w:val="17"/>
              </w:rPr>
              <w:t>活跃链条</w:t>
              <w:br/>
            </w:r>
            <w:r>
              <w:rPr>
                <w:rFonts w:ascii="Calibri" w:hAnsi="Calibri" w:eastAsia="Arial Unicode MS"/>
                <w:b/>
                <w:color w:val="A8731B"/>
                <w:sz w:val="36"/>
              </w:rPr>
              <w:t>5</w:t>
            </w:r>
          </w:p>
        </w:tc>
        <w:tc>
          <w:tcPr>
            <w:tcW w:type="dxa" w:w="2340"/>
            <w:vAlign w:val="center"/>
            <w:shd w:fill="F8FAFC"/>
          </w:tcPr>
          <w:p>
            <w:pPr>
              <w:spacing w:after="40"/>
            </w:pPr>
            <w:r>
              <w:rPr>
                <w:rFonts w:ascii="Calibri" w:hAnsi="Calibri" w:eastAsia="Arial Unicode MS"/>
                <w:b/>
                <w:color w:val="667085"/>
                <w:sz w:val="17"/>
              </w:rPr>
              <w:t>风险信号</w:t>
              <w:br/>
            </w:r>
            <w:r>
              <w:rPr>
                <w:rFonts w:ascii="Calibri" w:hAnsi="Calibri" w:eastAsia="Arial Unicode MS"/>
                <w:b/>
                <w:color w:val="B43D49"/>
                <w:sz w:val="36"/>
              </w:rPr>
              <w:t>16</w:t>
            </w:r>
          </w:p>
        </w:tc>
      </w:tr>
    </w:tbl>
    <w:p>
      <w:pPr>
        <w:spacing w:before="0" w:after="160" w:line="264" w:lineRule="auto"/>
      </w:pPr>
    </w:p>
    <w:p>
      <w:pPr>
        <w:spacing w:before="40" w:after="60"/>
        <w:jc w:val="center"/>
      </w:pPr>
      <w:r>
        <w:drawing>
          <wp:inline xmlns:a="http://schemas.openxmlformats.org/drawingml/2006/main" xmlns:pic="http://schemas.openxmlformats.org/drawingml/2006/picture">
            <wp:extent cx="5806440" cy="38709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ily-brief-2026-08-20-web-summary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8709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200" w:line="264" w:lineRule="auto"/>
        <w:jc w:val="center"/>
      </w:pPr>
      <w:r>
        <w:rPr>
          <w:rFonts w:ascii="Calibri" w:hAnsi="Calibri" w:eastAsia="Arial Unicode MS"/>
          <w:b w:val="0"/>
          <w:i/>
          <w:color w:val="667085"/>
          <w:sz w:val="17"/>
        </w:rPr>
        <w:t>Figure 1. Webpage snapshot of the daily synthesis and key operating metrics.</w:t>
      </w:r>
    </w:p>
    <w:p>
      <w:pPr>
        <w:pStyle w:val="Heading1"/>
      </w:pPr>
      <w:r>
        <w:t>1. 综合研判</w:t>
      </w:r>
    </w:p>
    <w:p>
      <w:pPr>
        <w:spacing w:after="140"/>
        <w:ind w:left="259" w:hanging="259"/>
      </w:pPr>
      <w:r>
        <w:rPr>
          <w:rFonts w:ascii="Calibri" w:hAnsi="Calibri" w:eastAsia="Arial Unicode MS"/>
          <w:b/>
          <w:color w:val="285B9D"/>
          <w:sz w:val="21"/>
        </w:rPr>
        <w:t xml:space="preserve">主线判断: </w:t>
      </w:r>
      <w:hyperlink r:id="rId12">
        <w:r>
          <w:rPr>
            <w:color w:val="285B9D"/>
            <w:u w:val="single"/>
            <w:rFonts w:eastAsia="Arial Unicode MS" w:ascii="Calibri" w:hAnsi="Calibri"/>
          </w:rPr>
          <w:t>AI基建高资本开支与高贴现率环境下大类资产风险溢价重估 是今日最高权重结论，核心证据来自 未识别，关联 电力与电网。</w:t>
        </w:r>
      </w:hyperlink>
    </w:p>
    <w:p>
      <w:pPr>
        <w:spacing w:after="140"/>
        <w:ind w:left="259" w:hanging="259"/>
      </w:pPr>
      <w:r>
        <w:rPr>
          <w:rFonts w:ascii="Calibri" w:hAnsi="Calibri" w:eastAsia="Arial Unicode MS"/>
          <w:b/>
          <w:color w:val="285B9D"/>
          <w:sz w:val="21"/>
        </w:rPr>
        <w:t xml:space="preserve">变化信号: </w:t>
      </w:r>
      <w:r>
        <w:rPr>
          <w:rFonts w:ascii="Calibri" w:hAnsi="Calibri" w:eastAsia="Arial Unicode MS"/>
          <w:color w:val="111827"/>
          <w:sz w:val="21"/>
        </w:rPr>
        <w:t>通胀 今日 降温，当日计数 65，前一日计数 254。</w:t>
      </w:r>
    </w:p>
    <w:p>
      <w:pPr>
        <w:spacing w:after="140"/>
        <w:ind w:left="259" w:hanging="259"/>
      </w:pPr>
      <w:r>
        <w:rPr>
          <w:rFonts w:ascii="Calibri" w:hAnsi="Calibri" w:eastAsia="Arial Unicode MS"/>
          <w:b/>
          <w:color w:val="285B9D"/>
          <w:sz w:val="21"/>
        </w:rPr>
        <w:t xml:space="preserve">风险焦点: </w:t>
      </w:r>
      <w:hyperlink r:id="rId13">
        <w:r>
          <w:rPr>
            <w:color w:val="285B9D"/>
            <w:u w:val="single"/>
            <w:rFonts w:eastAsia="Arial Unicode MS" w:ascii="Calibri" w:hAnsi="Calibri"/>
          </w:rPr>
          <w:t>风险矩阵最需要跟踪的是 AI 基础设施：prior research notes— AI 数据中心电力与电网设备瓶颈：2027 年 capex run-rate 能否被 powered-...。</w:t>
        </w:r>
      </w:hyperlink>
    </w:p>
    <w:p>
      <w:pPr>
        <w:spacing w:after="140"/>
        <w:ind w:left="259" w:hanging="259"/>
      </w:pPr>
      <w:r>
        <w:rPr>
          <w:rFonts w:ascii="Calibri" w:hAnsi="Calibri" w:eastAsia="Arial Unicode MS"/>
          <w:b/>
          <w:color w:val="285B9D"/>
          <w:sz w:val="21"/>
        </w:rPr>
        <w:t xml:space="preserve">证据密度: </w:t>
      </w:r>
      <w:hyperlink r:id="rId14">
        <w:r>
          <w:rPr>
            <w:color w:val="285B9D"/>
            <w:u w:val="single"/>
            <w:rFonts w:eastAsia="Arial Unicode MS" w:ascii="Calibri" w:hAnsi="Calibri"/>
          </w:rPr>
          <w:t>宏观通胀传导 今日 68 条、近七日 1352 条，风险信号 862 条。</w:t>
        </w:r>
      </w:hyperlink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vAlign w:val="center"/>
            <w:shd w:fill="FFF7E6"/>
          </w:tcPr>
          <w:p>
            <w:r>
              <w:rPr>
                <w:rFonts w:ascii="Calibri" w:hAnsi="Calibri" w:eastAsia="Arial Unicode MS"/>
                <w:b/>
                <w:color w:val="7A5A00"/>
                <w:sz w:val="21"/>
              </w:rPr>
              <w:t xml:space="preserve">投资解读: </w:t>
            </w:r>
            <w:r>
              <w:rPr>
                <w:rFonts w:ascii="Calibri" w:hAnsi="Calibri" w:eastAsia="Arial Unicode MS"/>
                <w:color w:val="7C2D12"/>
                <w:sz w:val="21"/>
              </w:rPr>
              <w:t>投资含义上，本日简报更适合作为主题和风险筛选器：先看行业链雷达确认资金关注方向，再用风险矩阵排除证据不足或约束过强的交易表达。</w:t>
            </w:r>
          </w:p>
        </w:tc>
      </w:tr>
    </w:tbl>
    <w:p>
      <w:pPr>
        <w:spacing w:before="0" w:after="120" w:line="264" w:lineRule="auto"/>
      </w:pPr>
    </w:p>
    <w:p>
      <w:pPr>
        <w:pStyle w:val="Heading1"/>
      </w:pPr>
      <w:r>
        <w:t>2. 可视化仪表板</w:t>
      </w:r>
    </w:p>
    <w:p>
      <w:pPr>
        <w:spacing w:before="40" w:after="60"/>
        <w:jc w:val="center"/>
      </w:pPr>
      <w:r>
        <w:drawing>
          <wp:inline xmlns:a="http://schemas.openxmlformats.org/drawingml/2006/main" xmlns:pic="http://schemas.openxmlformats.org/drawingml/2006/picture">
            <wp:extent cx="5806440" cy="387096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ily-brief-2026-08-20-web-trend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8709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200" w:line="264" w:lineRule="auto"/>
        <w:jc w:val="center"/>
      </w:pPr>
      <w:r>
        <w:rPr>
          <w:rFonts w:ascii="Calibri" w:hAnsi="Calibri" w:eastAsia="Arial Unicode MS"/>
          <w:b w:val="0"/>
          <w:i/>
          <w:color w:val="667085"/>
          <w:sz w:val="17"/>
        </w:rPr>
        <w:t>Figure 2. Webpage snapshot of topic momentum and daily change signals.</w:t>
      </w:r>
    </w:p>
    <w:p>
      <w:pPr>
        <w:spacing w:before="40" w:after="60"/>
        <w:jc w:val="center"/>
      </w:pPr>
      <w:r>
        <w:drawing>
          <wp:inline xmlns:a="http://schemas.openxmlformats.org/drawingml/2006/main" xmlns:pic="http://schemas.openxmlformats.org/drawingml/2006/picture">
            <wp:extent cx="5806440" cy="387096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ily-brief-2026-08-20-web-chains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8709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200" w:line="264" w:lineRule="auto"/>
        <w:jc w:val="center"/>
      </w:pPr>
      <w:r>
        <w:rPr>
          <w:rFonts w:ascii="Calibri" w:hAnsi="Calibri" w:eastAsia="Arial Unicode MS"/>
          <w:b w:val="0"/>
          <w:i/>
          <w:color w:val="667085"/>
          <w:sz w:val="17"/>
        </w:rPr>
        <w:t>Figure 3. Webpage snapshot of industry-chain heat and evidence links.</w:t>
      </w:r>
    </w:p>
    <w:p>
      <w:r>
        <w:br w:type="page"/>
      </w:r>
    </w:p>
    <w:p>
      <w:pPr>
        <w:spacing w:before="40" w:after="60"/>
        <w:jc w:val="center"/>
      </w:pPr>
      <w:r>
        <w:drawing>
          <wp:inline xmlns:a="http://schemas.openxmlformats.org/drawingml/2006/main" xmlns:pic="http://schemas.openxmlformats.org/drawingml/2006/picture">
            <wp:extent cx="5806440" cy="387096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ily-brief-2026-08-20-web-risk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8709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200" w:line="264" w:lineRule="auto"/>
        <w:jc w:val="center"/>
      </w:pPr>
      <w:r>
        <w:rPr>
          <w:rFonts w:ascii="Calibri" w:hAnsi="Calibri" w:eastAsia="Arial Unicode MS"/>
          <w:b w:val="0"/>
          <w:i/>
          <w:color w:val="667085"/>
          <w:sz w:val="17"/>
        </w:rPr>
        <w:t>Figure 4. Webpage snapshot of the risk matrix and pressure-test items.</w:t>
      </w:r>
    </w:p>
    <w:p>
      <w:r>
        <w:br w:type="page"/>
      </w:r>
    </w:p>
    <w:p>
      <w:pPr>
        <w:spacing w:before="40" w:after="60"/>
        <w:jc w:val="center"/>
      </w:pPr>
      <w:r>
        <w:drawing>
          <wp:inline xmlns:a="http://schemas.openxmlformats.org/drawingml/2006/main" xmlns:pic="http://schemas.openxmlformats.org/drawingml/2006/picture">
            <wp:extent cx="5806440" cy="387096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ily-brief-2026-08-20-web-heatmap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8709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200" w:line="264" w:lineRule="auto"/>
        <w:jc w:val="center"/>
      </w:pPr>
      <w:r>
        <w:rPr>
          <w:rFonts w:ascii="Calibri" w:hAnsi="Calibri" w:eastAsia="Arial Unicode MS"/>
          <w:b w:val="0"/>
          <w:i/>
          <w:color w:val="667085"/>
          <w:sz w:val="17"/>
        </w:rPr>
        <w:t>Figure 5. Webpage snapshot of analyst activity and ranked conclusions.</w:t>
      </w:r>
    </w:p>
    <w:p>
      <w:pPr>
        <w:pStyle w:val="Heading1"/>
      </w:pPr>
      <w:r>
        <w:t>3. 今日核心结论</w:t>
      </w:r>
    </w:p>
    <w:p>
      <w:pPr>
        <w:spacing w:before="0" w:after="40" w:line="264" w:lineRule="auto"/>
      </w:pPr>
      <w:r>
        <w:rPr>
          <w:rFonts w:ascii="Calibri" w:hAnsi="Calibri" w:eastAsia="Arial Unicode MS"/>
          <w:b/>
          <w:i w:val="0"/>
          <w:color w:val="0B2545"/>
          <w:sz w:val="23"/>
        </w:rPr>
        <w:t>1. AI基建高资本开支与高贴现率环境下大类资产风险溢价重估</w:t>
      </w:r>
    </w:p>
    <w:p>
      <w:pPr>
        <w:spacing w:before="0" w:after="40" w:line="264" w:lineRule="auto"/>
      </w:pPr>
      <w:r>
        <w:rPr>
          <w:rFonts w:ascii="Calibri" w:hAnsi="Calibri" w:eastAsia="Arial Unicode MS"/>
          <w:b w:val="0"/>
          <w:i w:val="0"/>
          <w:color w:val="667085"/>
          <w:sz w:val="17"/>
        </w:rPr>
        <w:t>未识别 · 电力与电网 · score 49.3</w:t>
      </w:r>
    </w:p>
    <w:p>
      <w:pPr>
        <w:spacing w:before="0" w:after="100" w:line="264" w:lineRule="auto"/>
      </w:pPr>
      <w:r>
        <w:rPr>
          <w:rFonts w:ascii="Calibri" w:hAnsi="Calibri" w:eastAsia="Arial Unicode MS"/>
          <w:b w:val="0"/>
          <w:i w:val="0"/>
          <w:color w:val="334155"/>
          <w:sz w:val="20"/>
        </w:rPr>
        <w:t>前序研究（能源行业分析师）提出以下交接问题：在10年期美债收益率维持在4.7%高位、大科技自由现金流被AI基建资本开支侵蚀、但底层电力/能源成本分化（天然气现货偏软 vs 电网容量价格高企）的...</w:t>
      </w:r>
    </w:p>
    <w:p>
      <w:pPr>
        <w:spacing w:before="0" w:after="160" w:line="264" w:lineRule="auto"/>
      </w:pPr>
      <w:r>
        <w:rPr>
          <w:rFonts w:ascii="Calibri" w:hAnsi="Calibri" w:eastAsia="Arial Unicode MS"/>
          <w:b w:val="0"/>
          <w:i w:val="0"/>
          <w:color w:val="667085"/>
          <w:sz w:val="17"/>
        </w:rPr>
        <w:t xml:space="preserve">Report: </w:t>
      </w:r>
      <w:hyperlink r:id="rId12">
        <w:r>
          <w:rPr>
            <w:color w:val="285B9D"/>
            <w:u w:val="single"/>
            <w:rFonts w:eastAsia="Arial Unicode MS" w:ascii="Calibri" w:hAnsi="Calibri"/>
          </w:rPr>
          <w:t>reports/archive-71b75bcf6139</w:t>
        </w:r>
      </w:hyperlink>
    </w:p>
    <w:p>
      <w:pPr>
        <w:spacing w:before="0" w:after="40" w:line="264" w:lineRule="auto"/>
      </w:pPr>
      <w:r>
        <w:rPr>
          <w:rFonts w:ascii="Calibri" w:hAnsi="Calibri" w:eastAsia="Arial Unicode MS"/>
          <w:b/>
          <w:i w:val="0"/>
          <w:color w:val="0B2545"/>
          <w:sz w:val="23"/>
        </w:rPr>
        <w:t>2. 2026-08-20 半导体压力测试：A股AI芯片、设备与材料在17%硬件成长脚中的配置边界</w:t>
      </w:r>
    </w:p>
    <w:p>
      <w:pPr>
        <w:spacing w:before="0" w:after="40" w:line="264" w:lineRule="auto"/>
      </w:pPr>
      <w:r>
        <w:rPr>
          <w:rFonts w:ascii="Calibri" w:hAnsi="Calibri" w:eastAsia="Arial Unicode MS"/>
          <w:b w:val="0"/>
          <w:i w:val="0"/>
          <w:color w:val="667085"/>
          <w:sz w:val="17"/>
        </w:rPr>
        <w:t>未识别 · 半导体与存储 · score 47.4</w:t>
      </w:r>
    </w:p>
    <w:p>
      <w:pPr>
        <w:spacing w:before="0" w:after="100" w:line="264" w:lineRule="auto"/>
      </w:pPr>
      <w:r>
        <w:rPr>
          <w:rFonts w:ascii="Calibri" w:hAnsi="Calibri" w:eastAsia="Arial Unicode MS"/>
          <w:b w:val="0"/>
          <w:i w:val="0"/>
          <w:color w:val="334155"/>
          <w:sz w:val="20"/>
        </w:rPr>
        <w:t>2026-08-20 半导体压力测试：A股AI芯片、设备与材料在17%硬件成长脚中的配置边界</w:t>
      </w:r>
    </w:p>
    <w:p>
      <w:pPr>
        <w:spacing w:before="0" w:after="160" w:line="264" w:lineRule="auto"/>
      </w:pPr>
      <w:r>
        <w:rPr>
          <w:rFonts w:ascii="Calibri" w:hAnsi="Calibri" w:eastAsia="Arial Unicode MS"/>
          <w:b w:val="0"/>
          <w:i w:val="0"/>
          <w:color w:val="667085"/>
          <w:sz w:val="17"/>
        </w:rPr>
        <w:t xml:space="preserve">Report: </w:t>
      </w:r>
      <w:hyperlink r:id="rId19">
        <w:r>
          <w:rPr>
            <w:color w:val="285B9D"/>
            <w:u w:val="single"/>
            <w:rFonts w:eastAsia="Arial Unicode MS" w:ascii="Calibri" w:hAnsi="Calibri"/>
          </w:rPr>
          <w:t>reports/archive-d773402e08de</w:t>
        </w:r>
      </w:hyperlink>
    </w:p>
    <w:p>
      <w:pPr>
        <w:spacing w:before="0" w:after="40" w:line="264" w:lineRule="auto"/>
      </w:pPr>
      <w:r>
        <w:rPr>
          <w:rFonts w:ascii="Calibri" w:hAnsi="Calibri" w:eastAsia="Arial Unicode MS"/>
          <w:b/>
          <w:i w:val="0"/>
          <w:color w:val="0B2545"/>
          <w:sz w:val="23"/>
        </w:rPr>
        <w:t>3. prior research notes— Henry Hub 天然气价格路径与气电联供 PPA / 对冲结构对 AI 数据中心燃料成...</w:t>
      </w:r>
    </w:p>
    <w:p>
      <w:pPr>
        <w:spacing w:before="0" w:after="40" w:line="264" w:lineRule="auto"/>
      </w:pPr>
      <w:r>
        <w:rPr>
          <w:rFonts w:ascii="Calibri" w:hAnsi="Calibri" w:eastAsia="Arial Unicode MS"/>
          <w:b w:val="0"/>
          <w:i w:val="0"/>
          <w:color w:val="667085"/>
          <w:sz w:val="17"/>
        </w:rPr>
        <w:t>未识别 · 宏观通胀传导 · score 46.4</w:t>
      </w:r>
    </w:p>
    <w:p>
      <w:pPr>
        <w:spacing w:before="0" w:after="100" w:line="264" w:lineRule="auto"/>
      </w:pPr>
      <w:r>
        <w:rPr>
          <w:rFonts w:ascii="Calibri" w:hAnsi="Calibri" w:eastAsia="Arial Unicode MS"/>
          <w:b w:val="0"/>
          <w:i w:val="0"/>
          <w:color w:val="334155"/>
          <w:sz w:val="20"/>
        </w:rPr>
        <w:t>prior research notes— Henry Hub 天然气价格路径与气电联供 PPA / 对冲结构对 AI 数据中心燃料成本敞口的影响</w:t>
      </w:r>
    </w:p>
    <w:p>
      <w:pPr>
        <w:spacing w:before="0" w:after="160" w:line="264" w:lineRule="auto"/>
      </w:pPr>
      <w:r>
        <w:rPr>
          <w:rFonts w:ascii="Calibri" w:hAnsi="Calibri" w:eastAsia="Arial Unicode MS"/>
          <w:b w:val="0"/>
          <w:i w:val="0"/>
          <w:color w:val="667085"/>
          <w:sz w:val="17"/>
        </w:rPr>
        <w:t xml:space="preserve">Report: </w:t>
      </w:r>
      <w:hyperlink r:id="rId20">
        <w:r>
          <w:rPr>
            <w:color w:val="285B9D"/>
            <w:u w:val="single"/>
            <w:rFonts w:eastAsia="Arial Unicode MS" w:ascii="Calibri" w:hAnsi="Calibri"/>
          </w:rPr>
          <w:t>reports/archive-390173742556</w:t>
        </w:r>
      </w:hyperlink>
    </w:p>
    <w:p>
      <w:pPr>
        <w:spacing w:before="0" w:after="40" w:line="264" w:lineRule="auto"/>
      </w:pPr>
      <w:r>
        <w:rPr>
          <w:rFonts w:ascii="Calibri" w:hAnsi="Calibri" w:eastAsia="Arial Unicode MS"/>
          <w:b/>
          <w:i w:val="0"/>
          <w:color w:val="0B2545"/>
          <w:sz w:val="23"/>
        </w:rPr>
        <w:t>4. MU 机构资金流压力测试 — 2026-08-20</w:t>
      </w:r>
    </w:p>
    <w:p>
      <w:pPr>
        <w:spacing w:before="0" w:after="40" w:line="264" w:lineRule="auto"/>
      </w:pPr>
      <w:r>
        <w:rPr>
          <w:rFonts w:ascii="Calibri" w:hAnsi="Calibri" w:eastAsia="Arial Unicode MS"/>
          <w:b w:val="0"/>
          <w:i w:val="0"/>
          <w:color w:val="667085"/>
          <w:sz w:val="17"/>
        </w:rPr>
        <w:t>未识别 · 宏观通胀传导 · score 45.8</w:t>
      </w:r>
    </w:p>
    <w:p>
      <w:pPr>
        <w:spacing w:before="0" w:after="100" w:line="264" w:lineRule="auto"/>
      </w:pPr>
      <w:r>
        <w:rPr>
          <w:rFonts w:ascii="Calibri" w:hAnsi="Calibri" w:eastAsia="Arial Unicode MS"/>
          <w:b w:val="0"/>
          <w:i w:val="0"/>
          <w:color w:val="334155"/>
          <w:sz w:val="20"/>
        </w:rPr>
        <w:t>prior research notes/8 · 市场情绪师 · 立场：stress-test · 工作日期：2026-08-20 Asia/Singapore。 截至 2026-08-20，我对 prior research notes提出的疑点做压力测试：桥水、Appaloosa、...</w:t>
      </w:r>
    </w:p>
    <w:p>
      <w:pPr>
        <w:spacing w:before="0" w:after="160" w:line="264" w:lineRule="auto"/>
      </w:pPr>
      <w:r>
        <w:rPr>
          <w:rFonts w:ascii="Calibri" w:hAnsi="Calibri" w:eastAsia="Arial Unicode MS"/>
          <w:b w:val="0"/>
          <w:i w:val="0"/>
          <w:color w:val="667085"/>
          <w:sz w:val="17"/>
        </w:rPr>
        <w:t xml:space="preserve">Report: </w:t>
      </w:r>
      <w:hyperlink r:id="rId21">
        <w:r>
          <w:rPr>
            <w:color w:val="285B9D"/>
            <w:u w:val="single"/>
            <w:rFonts w:eastAsia="Arial Unicode MS" w:ascii="Calibri" w:hAnsi="Calibri"/>
          </w:rPr>
          <w:t>reports/archive-1099ee26f4d2</w:t>
        </w:r>
      </w:hyperlink>
    </w:p>
    <w:p>
      <w:pPr>
        <w:spacing w:before="0" w:after="40" w:line="264" w:lineRule="auto"/>
      </w:pPr>
      <w:r>
        <w:rPr>
          <w:rFonts w:ascii="Calibri" w:hAnsi="Calibri" w:eastAsia="Arial Unicode MS"/>
          <w:b/>
          <w:i w:val="0"/>
          <w:color w:val="0B2545"/>
          <w:sz w:val="23"/>
        </w:rPr>
        <w:t>5. 2026-08-20 半导体压力测试：AI资本开支下修、Blackwell订单、CoWoS与HBM分配</w:t>
      </w:r>
    </w:p>
    <w:p>
      <w:pPr>
        <w:spacing w:before="0" w:after="40" w:line="264" w:lineRule="auto"/>
      </w:pPr>
      <w:r>
        <w:rPr>
          <w:rFonts w:ascii="Calibri" w:hAnsi="Calibri" w:eastAsia="Arial Unicode MS"/>
          <w:b w:val="0"/>
          <w:i w:val="0"/>
          <w:color w:val="667085"/>
          <w:sz w:val="17"/>
        </w:rPr>
        <w:t>未识别 · AI 基础设施 · score 42.8</w:t>
      </w:r>
    </w:p>
    <w:p>
      <w:pPr>
        <w:spacing w:before="0" w:after="100" w:line="264" w:lineRule="auto"/>
      </w:pPr>
      <w:r>
        <w:rPr>
          <w:rFonts w:ascii="Calibri" w:hAnsi="Calibri" w:eastAsia="Arial Unicode MS"/>
          <w:b w:val="0"/>
          <w:i w:val="0"/>
          <w:color w:val="334155"/>
          <w:sz w:val="20"/>
        </w:rPr>
        <w:t>2026-08-20 半导体压力测试：AI资本开支下修、Blackwell订单、CoWoS与HBM分配</w:t>
      </w:r>
    </w:p>
    <w:p>
      <w:pPr>
        <w:spacing w:before="0" w:after="160" w:line="264" w:lineRule="auto"/>
      </w:pPr>
      <w:r>
        <w:rPr>
          <w:rFonts w:ascii="Calibri" w:hAnsi="Calibri" w:eastAsia="Arial Unicode MS"/>
          <w:b w:val="0"/>
          <w:i w:val="0"/>
          <w:color w:val="667085"/>
          <w:sz w:val="17"/>
        </w:rPr>
        <w:t xml:space="preserve">Report: </w:t>
      </w:r>
      <w:hyperlink r:id="rId22">
        <w:r>
          <w:rPr>
            <w:color w:val="285B9D"/>
            <w:u w:val="single"/>
            <w:rFonts w:eastAsia="Arial Unicode MS" w:ascii="Calibri" w:hAnsi="Calibri"/>
          </w:rPr>
          <w:t>reports/archive-2d56e813ae6e</w:t>
        </w:r>
      </w:hyperlink>
    </w:p>
    <w:p>
      <w:pPr>
        <w:spacing w:before="0" w:after="40" w:line="264" w:lineRule="auto"/>
      </w:pPr>
      <w:r>
        <w:rPr>
          <w:rFonts w:ascii="Calibri" w:hAnsi="Calibri" w:eastAsia="Arial Unicode MS"/>
          <w:b/>
          <w:i w:val="0"/>
          <w:color w:val="0B2545"/>
          <w:sz w:val="23"/>
        </w:rPr>
        <w:t>6. 2026-08-20 最终模型权重、对冲叠加与重新加风险规则</w:t>
      </w:r>
    </w:p>
    <w:p>
      <w:pPr>
        <w:spacing w:before="0" w:after="40" w:line="264" w:lineRule="auto"/>
      </w:pPr>
      <w:r>
        <w:rPr>
          <w:rFonts w:ascii="Calibri" w:hAnsi="Calibri" w:eastAsia="Arial Unicode MS"/>
          <w:b w:val="0"/>
          <w:i w:val="0"/>
          <w:color w:val="667085"/>
          <w:sz w:val="17"/>
        </w:rPr>
        <w:t>未识别 · AI 基础设施 · score 41.5</w:t>
      </w:r>
    </w:p>
    <w:p>
      <w:pPr>
        <w:spacing w:before="0" w:after="100" w:line="264" w:lineRule="auto"/>
      </w:pPr>
      <w:r>
        <w:rPr>
          <w:rFonts w:ascii="Calibri" w:hAnsi="Calibri" w:eastAsia="Arial Unicode MS"/>
          <w:b w:val="0"/>
          <w:i w:val="0"/>
          <w:color w:val="334155"/>
          <w:sz w:val="20"/>
        </w:rPr>
        <w:t>分析师： 首席策略师（chief-strategist） 工作日期： 2026-08-20（Asia/Singapore） 立场： synthesize 研究记录</w:t>
      </w:r>
    </w:p>
    <w:p>
      <w:pPr>
        <w:spacing w:before="0" w:after="160" w:line="264" w:lineRule="auto"/>
      </w:pPr>
      <w:r>
        <w:rPr>
          <w:rFonts w:ascii="Calibri" w:hAnsi="Calibri" w:eastAsia="Arial Unicode MS"/>
          <w:b w:val="0"/>
          <w:i w:val="0"/>
          <w:color w:val="667085"/>
          <w:sz w:val="17"/>
        </w:rPr>
        <w:t xml:space="preserve">Report: </w:t>
      </w:r>
      <w:hyperlink r:id="rId23">
        <w:r>
          <w:rPr>
            <w:color w:val="285B9D"/>
            <w:u w:val="single"/>
            <w:rFonts w:eastAsia="Arial Unicode MS" w:ascii="Calibri" w:hAnsi="Calibri"/>
          </w:rPr>
          <w:t>reports/archive-4d6530eea469</w:t>
        </w:r>
      </w:hyperlink>
    </w:p>
    <w:p>
      <w:pPr>
        <w:pStyle w:val="Heading1"/>
      </w:pPr>
      <w:r>
        <w:t>4. 重点跟踪事项</w:t>
      </w:r>
    </w:p>
    <w:p>
      <w:pPr>
        <w:spacing w:before="0" w:after="40" w:line="264" w:lineRule="auto"/>
      </w:pPr>
      <w:r>
        <w:rPr>
          <w:rFonts w:ascii="Calibri" w:hAnsi="Calibri" w:eastAsia="Arial Unicode MS"/>
          <w:b/>
          <w:i w:val="0"/>
          <w:color w:val="0B2545"/>
          <w:sz w:val="22"/>
        </w:rPr>
        <w:t>prior research notes— AI 数据中心电力与电网设备瓶颈：2027 年 capex run-rate 能否被 powered-...</w:t>
      </w:r>
    </w:p>
    <w:p>
      <w:pPr>
        <w:spacing w:before="0" w:after="60" w:line="264" w:lineRule="auto"/>
      </w:pPr>
      <w:r>
        <w:rPr>
          <w:rFonts w:ascii="Calibri" w:hAnsi="Calibri" w:eastAsia="Arial Unicode MS"/>
          <w:b w:val="0"/>
          <w:i w:val="0"/>
          <w:color w:val="334155"/>
          <w:sz w:val="20"/>
        </w:rPr>
        <w:t>AI 基础设施，影响 5 / 概率 2</w:t>
      </w:r>
    </w:p>
    <w:p>
      <w:pPr>
        <w:spacing w:before="0" w:after="160" w:line="264" w:lineRule="auto"/>
      </w:pPr>
      <w:r>
        <w:rPr>
          <w:rFonts w:ascii="Calibri" w:hAnsi="Calibri" w:eastAsia="Arial Unicode MS"/>
          <w:b w:val="0"/>
          <w:i w:val="0"/>
          <w:color w:val="667085"/>
          <w:sz w:val="17"/>
        </w:rPr>
        <w:t xml:space="preserve">Report: </w:t>
      </w:r>
      <w:hyperlink r:id="rId13">
        <w:r>
          <w:rPr>
            <w:color w:val="285B9D"/>
            <w:u w:val="single"/>
            <w:rFonts w:eastAsia="Arial Unicode MS" w:ascii="Calibri" w:hAnsi="Calibri"/>
          </w:rPr>
          <w:t>reports/archive-b4ec8ef3430e</w:t>
        </w:r>
      </w:hyperlink>
    </w:p>
    <w:p>
      <w:pPr>
        <w:spacing w:before="0" w:after="40" w:line="264" w:lineRule="auto"/>
      </w:pPr>
      <w:r>
        <w:rPr>
          <w:rFonts w:ascii="Calibri" w:hAnsi="Calibri" w:eastAsia="Arial Unicode MS"/>
          <w:b/>
          <w:i w:val="0"/>
          <w:color w:val="0B2545"/>
          <w:sz w:val="22"/>
        </w:rPr>
        <w:t>工业制造压力测试：变压器与燃气轮机OEM扩产能否在2028年前压缩AI电力设备交期？（截至2026-08-16...</w:t>
      </w:r>
    </w:p>
    <w:p>
      <w:pPr>
        <w:spacing w:before="0" w:after="60" w:line="264" w:lineRule="auto"/>
      </w:pPr>
      <w:r>
        <w:rPr>
          <w:rFonts w:ascii="Calibri" w:hAnsi="Calibri" w:eastAsia="Arial Unicode MS"/>
          <w:b w:val="0"/>
          <w:i w:val="0"/>
          <w:color w:val="334155"/>
          <w:sz w:val="20"/>
        </w:rPr>
        <w:t>工业供给瓶颈，影响 5 / 概率 2</w:t>
      </w:r>
    </w:p>
    <w:p>
      <w:pPr>
        <w:spacing w:before="0" w:after="160" w:line="264" w:lineRule="auto"/>
      </w:pPr>
      <w:r>
        <w:rPr>
          <w:rFonts w:ascii="Calibri" w:hAnsi="Calibri" w:eastAsia="Arial Unicode MS"/>
          <w:b w:val="0"/>
          <w:i w:val="0"/>
          <w:color w:val="667085"/>
          <w:sz w:val="17"/>
        </w:rPr>
        <w:t xml:space="preserve">Report: </w:t>
      </w:r>
      <w:hyperlink r:id="rId24">
        <w:r>
          <w:rPr>
            <w:color w:val="285B9D"/>
            <w:u w:val="single"/>
            <w:rFonts w:eastAsia="Arial Unicode MS" w:ascii="Calibri" w:hAnsi="Calibri"/>
          </w:rPr>
          <w:t>reports/archive-497a81b51eee</w:t>
        </w:r>
      </w:hyperlink>
    </w:p>
    <w:p>
      <w:pPr>
        <w:spacing w:before="0" w:after="40" w:line="264" w:lineRule="auto"/>
      </w:pPr>
      <w:r>
        <w:rPr>
          <w:rFonts w:ascii="Calibri" w:hAnsi="Calibri" w:eastAsia="Arial Unicode MS"/>
          <w:b/>
          <w:i w:val="0"/>
          <w:color w:val="0B2545"/>
          <w:sz w:val="22"/>
        </w:rPr>
        <w:t>AI数据中心电力瓶颈量化：电网并网排队、设备交付周期与hyperscaler电力采购（截至2026-08-16）</w:t>
      </w:r>
    </w:p>
    <w:p>
      <w:pPr>
        <w:spacing w:before="0" w:after="60" w:line="264" w:lineRule="auto"/>
      </w:pPr>
      <w:r>
        <w:rPr>
          <w:rFonts w:ascii="Calibri" w:hAnsi="Calibri" w:eastAsia="Arial Unicode MS"/>
          <w:b w:val="0"/>
          <w:i w:val="0"/>
          <w:color w:val="334155"/>
          <w:sz w:val="20"/>
        </w:rPr>
        <w:t>电力与电网，影响 5 / 概率 2</w:t>
      </w:r>
    </w:p>
    <w:p>
      <w:pPr>
        <w:spacing w:before="0" w:after="160" w:line="264" w:lineRule="auto"/>
      </w:pPr>
      <w:r>
        <w:rPr>
          <w:rFonts w:ascii="Calibri" w:hAnsi="Calibri" w:eastAsia="Arial Unicode MS"/>
          <w:b w:val="0"/>
          <w:i w:val="0"/>
          <w:color w:val="667085"/>
          <w:sz w:val="17"/>
        </w:rPr>
        <w:t xml:space="preserve">Report: </w:t>
      </w:r>
      <w:hyperlink r:id="rId25">
        <w:r>
          <w:rPr>
            <w:color w:val="285B9D"/>
            <w:u w:val="single"/>
            <w:rFonts w:eastAsia="Arial Unicode MS" w:ascii="Calibri" w:hAnsi="Calibri"/>
          </w:rPr>
          <w:t>reports/archive-fb62d5d075f2</w:t>
        </w:r>
      </w:hyperlink>
    </w:p>
    <w:p>
      <w:pPr>
        <w:pStyle w:val="Heading1"/>
      </w:pPr>
      <w:r>
        <w:t>5. 证据表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3720"/>
        <w:gridCol w:w="1560"/>
        <w:gridCol w:w="1680"/>
        <w:gridCol w:w="900"/>
        <w:gridCol w:w="1500"/>
      </w:tblGrid>
      <w:tr>
        <w:tc>
          <w:tcPr>
            <w:tcW w:type="dxa" w:w="3720"/>
            <w:vAlign w:val="center"/>
            <w:shd w:fill="F2F4F7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/>
                <w:color w:val="475569"/>
                <w:sz w:val="18"/>
              </w:rPr>
              <w:t>报告</w:t>
            </w:r>
          </w:p>
        </w:tc>
        <w:tc>
          <w:tcPr>
            <w:tcW w:type="dxa" w:w="1560"/>
            <w:vAlign w:val="center"/>
            <w:shd w:fill="F2F4F7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/>
                <w:color w:val="475569"/>
                <w:sz w:val="18"/>
              </w:rPr>
              <w:t>分析师</w:t>
            </w:r>
          </w:p>
        </w:tc>
        <w:tc>
          <w:tcPr>
            <w:tcW w:type="dxa" w:w="1680"/>
            <w:vAlign w:val="center"/>
            <w:shd w:fill="F2F4F7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/>
                <w:color w:val="475569"/>
                <w:sz w:val="18"/>
              </w:rPr>
              <w:t>行业链</w:t>
            </w:r>
          </w:p>
        </w:tc>
        <w:tc>
          <w:tcPr>
            <w:tcW w:type="dxa" w:w="900"/>
            <w:vAlign w:val="center"/>
            <w:shd w:fill="F2F4F7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/>
                <w:color w:val="475569"/>
                <w:sz w:val="18"/>
              </w:rPr>
              <w:t>评分</w:t>
            </w:r>
          </w:p>
        </w:tc>
        <w:tc>
          <w:tcPr>
            <w:tcW w:type="dxa" w:w="1500"/>
            <w:vAlign w:val="center"/>
            <w:shd w:fill="F2F4F7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/>
                <w:color w:val="475569"/>
                <w:sz w:val="18"/>
              </w:rPr>
              <w:t>风险</w:t>
            </w:r>
          </w:p>
        </w:tc>
      </w:tr>
      <w:tr>
        <w:tc>
          <w:tcPr>
            <w:tcW w:type="dxa" w:w="372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7"/>
              </w:rPr>
              <w:t>AI基建高资本开支与高贴现率环境下大类资产风险溢价重估</w:t>
            </w:r>
          </w:p>
        </w:tc>
        <w:tc>
          <w:tcPr>
            <w:tcW w:type="dxa" w:w="156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未识别</w:t>
            </w:r>
          </w:p>
        </w:tc>
        <w:tc>
          <w:tcPr>
            <w:tcW w:type="dxa" w:w="168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电力与电网</w:t>
            </w:r>
          </w:p>
        </w:tc>
        <w:tc>
          <w:tcPr>
            <w:tcW w:type="dxa" w:w="9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/>
                <w:color w:val="111827"/>
                <w:sz w:val="17"/>
              </w:rPr>
              <w:t>49.3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风险 1</w:t>
            </w:r>
          </w:p>
        </w:tc>
      </w:tr>
      <w:tr>
        <w:tc>
          <w:tcPr>
            <w:tcW w:type="dxa" w:w="372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7"/>
              </w:rPr>
              <w:t>2026-08-20 半导体压力测试：A股AI芯片、设备与材料在17%硬件成长脚中的配置边界</w:t>
            </w:r>
          </w:p>
        </w:tc>
        <w:tc>
          <w:tcPr>
            <w:tcW w:type="dxa" w:w="156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未识别</w:t>
            </w:r>
          </w:p>
        </w:tc>
        <w:tc>
          <w:tcPr>
            <w:tcW w:type="dxa" w:w="168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半导体与存储</w:t>
            </w:r>
          </w:p>
        </w:tc>
        <w:tc>
          <w:tcPr>
            <w:tcW w:type="dxa" w:w="9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/>
                <w:color w:val="111827"/>
                <w:sz w:val="17"/>
              </w:rPr>
              <w:t>47.4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风险 1</w:t>
            </w:r>
          </w:p>
        </w:tc>
      </w:tr>
      <w:tr>
        <w:tc>
          <w:tcPr>
            <w:tcW w:type="dxa" w:w="372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7"/>
              </w:rPr>
              <w:t>prior research notes— Henry Hub 天然气价格路径与气电联供 PPA / 对冲结构对 AI 数据中心燃料成...</w:t>
            </w:r>
          </w:p>
        </w:tc>
        <w:tc>
          <w:tcPr>
            <w:tcW w:type="dxa" w:w="156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未识别</w:t>
            </w:r>
          </w:p>
        </w:tc>
        <w:tc>
          <w:tcPr>
            <w:tcW w:type="dxa" w:w="168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宏观通胀传导</w:t>
            </w:r>
          </w:p>
        </w:tc>
        <w:tc>
          <w:tcPr>
            <w:tcW w:type="dxa" w:w="9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/>
                <w:color w:val="111827"/>
                <w:sz w:val="17"/>
              </w:rPr>
              <w:t>46.4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常规</w:t>
            </w:r>
          </w:p>
        </w:tc>
      </w:tr>
      <w:tr>
        <w:tc>
          <w:tcPr>
            <w:tcW w:type="dxa" w:w="372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7"/>
              </w:rPr>
              <w:t>MU 机构资金流压力测试 — 2026-08-20</w:t>
            </w:r>
          </w:p>
        </w:tc>
        <w:tc>
          <w:tcPr>
            <w:tcW w:type="dxa" w:w="156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未识别</w:t>
            </w:r>
          </w:p>
        </w:tc>
        <w:tc>
          <w:tcPr>
            <w:tcW w:type="dxa" w:w="168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宏观通胀传导</w:t>
            </w:r>
          </w:p>
        </w:tc>
        <w:tc>
          <w:tcPr>
            <w:tcW w:type="dxa" w:w="9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/>
                <w:color w:val="111827"/>
                <w:sz w:val="17"/>
              </w:rPr>
              <w:t>45.8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风险 2</w:t>
            </w:r>
          </w:p>
        </w:tc>
      </w:tr>
      <w:tr>
        <w:tc>
          <w:tcPr>
            <w:tcW w:type="dxa" w:w="372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7"/>
              </w:rPr>
              <w:t>2026-08-20 半导体压力测试：AI资本开支下修、Blackwell订单、CoWoS与HBM分配</w:t>
            </w:r>
          </w:p>
        </w:tc>
        <w:tc>
          <w:tcPr>
            <w:tcW w:type="dxa" w:w="156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未识别</w:t>
            </w:r>
          </w:p>
        </w:tc>
        <w:tc>
          <w:tcPr>
            <w:tcW w:type="dxa" w:w="168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AI 基础设施</w:t>
            </w:r>
          </w:p>
        </w:tc>
        <w:tc>
          <w:tcPr>
            <w:tcW w:type="dxa" w:w="9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/>
                <w:color w:val="111827"/>
                <w:sz w:val="17"/>
              </w:rPr>
              <w:t>42.8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风险 1</w:t>
            </w:r>
          </w:p>
        </w:tc>
      </w:tr>
      <w:tr>
        <w:tc>
          <w:tcPr>
            <w:tcW w:type="dxa" w:w="372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7"/>
              </w:rPr>
              <w:t>2026-08-20 最终模型权重、对冲叠加与重新加风险规则</w:t>
            </w:r>
          </w:p>
        </w:tc>
        <w:tc>
          <w:tcPr>
            <w:tcW w:type="dxa" w:w="156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未识别</w:t>
            </w:r>
          </w:p>
        </w:tc>
        <w:tc>
          <w:tcPr>
            <w:tcW w:type="dxa" w:w="168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AI 基础设施</w:t>
            </w:r>
          </w:p>
        </w:tc>
        <w:tc>
          <w:tcPr>
            <w:tcW w:type="dxa" w:w="9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/>
                <w:color w:val="111827"/>
                <w:sz w:val="17"/>
              </w:rPr>
              <w:t>41.5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风险 1</w:t>
            </w:r>
          </w:p>
        </w:tc>
      </w:tr>
      <w:tr>
        <w:tc>
          <w:tcPr>
            <w:tcW w:type="dxa" w:w="372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7"/>
              </w:rPr>
              <w:t>压力测试与战术重构：美债30年期破5.25%（th p f6be337e触发）后跨资产风险平价的美元久期重组与中...</w:t>
            </w:r>
          </w:p>
        </w:tc>
        <w:tc>
          <w:tcPr>
            <w:tcW w:type="dxa" w:w="156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未识别</w:t>
            </w:r>
          </w:p>
        </w:tc>
        <w:tc>
          <w:tcPr>
            <w:tcW w:type="dxa" w:w="168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宏观通胀传导</w:t>
            </w:r>
          </w:p>
        </w:tc>
        <w:tc>
          <w:tcPr>
            <w:tcW w:type="dxa" w:w="9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/>
                <w:color w:val="111827"/>
                <w:sz w:val="17"/>
              </w:rPr>
              <w:t>40.6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风险 2</w:t>
            </w:r>
          </w:p>
        </w:tc>
      </w:tr>
      <w:tr>
        <w:tc>
          <w:tcPr>
            <w:tcW w:type="dxa" w:w="372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7"/>
              </w:rPr>
              <w:t>prior research notes— WULF 式电力支持数据中心还能覆盖资本成本吗？</w:t>
            </w:r>
          </w:p>
        </w:tc>
        <w:tc>
          <w:tcPr>
            <w:tcW w:type="dxa" w:w="156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未识别</w:t>
            </w:r>
          </w:p>
        </w:tc>
        <w:tc>
          <w:tcPr>
            <w:tcW w:type="dxa" w:w="168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AI 基础设施</w:t>
            </w:r>
          </w:p>
        </w:tc>
        <w:tc>
          <w:tcPr>
            <w:tcW w:type="dxa" w:w="9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/>
                <w:color w:val="111827"/>
                <w:sz w:val="17"/>
              </w:rPr>
              <w:t>40.6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常规</w:t>
            </w:r>
          </w:p>
        </w:tc>
      </w:tr>
      <w:tr>
        <w:tc>
          <w:tcPr>
            <w:tcW w:type="dxa" w:w="372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7"/>
              </w:rPr>
              <w:t>prior research notes— AI基础设施分析师：AI基建资本开支的债务融资结构与利率敏感度压力测试</w:t>
            </w:r>
          </w:p>
        </w:tc>
        <w:tc>
          <w:tcPr>
            <w:tcW w:type="dxa" w:w="156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未识别</w:t>
            </w:r>
          </w:p>
        </w:tc>
        <w:tc>
          <w:tcPr>
            <w:tcW w:type="dxa" w:w="168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宏观通胀传导</w:t>
            </w:r>
          </w:p>
        </w:tc>
        <w:tc>
          <w:tcPr>
            <w:tcW w:type="dxa" w:w="9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/>
                <w:color w:val="111827"/>
                <w:sz w:val="17"/>
              </w:rPr>
              <w:t>40.6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风险 1</w:t>
            </w:r>
          </w:p>
        </w:tc>
      </w:tr>
      <w:tr>
        <w:tc>
          <w:tcPr>
            <w:tcW w:type="dxa" w:w="372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7"/>
              </w:rPr>
              <w:t>早报头条扫描与选题立项建议书 (2026-08-20)</w:t>
            </w:r>
          </w:p>
        </w:tc>
        <w:tc>
          <w:tcPr>
            <w:tcW w:type="dxa" w:w="156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未识别</w:t>
            </w:r>
          </w:p>
        </w:tc>
        <w:tc>
          <w:tcPr>
            <w:tcW w:type="dxa" w:w="168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宏观通胀传导</w:t>
            </w:r>
          </w:p>
        </w:tc>
        <w:tc>
          <w:tcPr>
            <w:tcW w:type="dxa" w:w="9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/>
                <w:color w:val="111827"/>
                <w:sz w:val="17"/>
              </w:rPr>
              <w:t>40.5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常规</w:t>
            </w:r>
          </w:p>
        </w:tc>
      </w:tr>
      <w:tr>
        <w:tc>
          <w:tcPr>
            <w:tcW w:type="dxa" w:w="372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7"/>
              </w:rPr>
              <w:t>2026-08-20 大类资产配置综合：红利锚、成长战术仓与久期对冲</w:t>
            </w:r>
          </w:p>
        </w:tc>
        <w:tc>
          <w:tcPr>
            <w:tcW w:type="dxa" w:w="156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未识别</w:t>
            </w:r>
          </w:p>
        </w:tc>
        <w:tc>
          <w:tcPr>
            <w:tcW w:type="dxa" w:w="168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宏观通胀传导</w:t>
            </w:r>
          </w:p>
        </w:tc>
        <w:tc>
          <w:tcPr>
            <w:tcW w:type="dxa" w:w="9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/>
                <w:color w:val="111827"/>
                <w:sz w:val="17"/>
              </w:rPr>
              <w:t>40.5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风险 1</w:t>
            </w:r>
          </w:p>
        </w:tc>
      </w:tr>
      <w:tr>
        <w:tc>
          <w:tcPr>
            <w:tcW w:type="dxa" w:w="372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7"/>
              </w:rPr>
              <w:t>research discussion Session Brief</w:t>
            </w:r>
          </w:p>
        </w:tc>
        <w:tc>
          <w:tcPr>
            <w:tcW w:type="dxa" w:w="156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未识别</w:t>
            </w:r>
          </w:p>
        </w:tc>
        <w:tc>
          <w:tcPr>
            <w:tcW w:type="dxa" w:w="168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宏观通胀传导</w:t>
            </w:r>
          </w:p>
        </w:tc>
        <w:tc>
          <w:tcPr>
            <w:tcW w:type="dxa" w:w="9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/>
                <w:color w:val="111827"/>
                <w:sz w:val="17"/>
              </w:rPr>
              <w:t>40.1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常规</w:t>
            </w:r>
          </w:p>
        </w:tc>
      </w:tr>
      <w:tr>
        <w:tc>
          <w:tcPr>
            <w:tcW w:type="dxa" w:w="372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7"/>
              </w:rPr>
              <w:t>Recent analyst reports</w:t>
            </w:r>
          </w:p>
        </w:tc>
        <w:tc>
          <w:tcPr>
            <w:tcW w:type="dxa" w:w="156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未识别</w:t>
            </w:r>
          </w:p>
        </w:tc>
        <w:tc>
          <w:tcPr>
            <w:tcW w:type="dxa" w:w="168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宏观通胀传导</w:t>
            </w:r>
          </w:p>
        </w:tc>
        <w:tc>
          <w:tcPr>
            <w:tcW w:type="dxa" w:w="9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/>
                <w:color w:val="111827"/>
                <w:sz w:val="17"/>
              </w:rPr>
              <w:t>39.9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常规</w:t>
            </w:r>
          </w:p>
        </w:tc>
      </w:tr>
      <w:tr>
        <w:tc>
          <w:tcPr>
            <w:tcW w:type="dxa" w:w="372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7"/>
              </w:rPr>
              <w:t>Recent analyst reports</w:t>
            </w:r>
          </w:p>
        </w:tc>
        <w:tc>
          <w:tcPr>
            <w:tcW w:type="dxa" w:w="156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未识别</w:t>
            </w:r>
          </w:p>
        </w:tc>
        <w:tc>
          <w:tcPr>
            <w:tcW w:type="dxa" w:w="168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宏观通胀传导</w:t>
            </w:r>
          </w:p>
        </w:tc>
        <w:tc>
          <w:tcPr>
            <w:tcW w:type="dxa" w:w="9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/>
                <w:color w:val="111827"/>
                <w:sz w:val="17"/>
              </w:rPr>
              <w:t>39.9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常规</w:t>
            </w:r>
          </w:p>
        </w:tc>
      </w:tr>
      <w:tr>
        <w:tc>
          <w:tcPr>
            <w:tcW w:type="dxa" w:w="372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7"/>
              </w:rPr>
              <w:t>Recent analyst reports</w:t>
            </w:r>
          </w:p>
        </w:tc>
        <w:tc>
          <w:tcPr>
            <w:tcW w:type="dxa" w:w="156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未识别</w:t>
            </w:r>
          </w:p>
        </w:tc>
        <w:tc>
          <w:tcPr>
            <w:tcW w:type="dxa" w:w="168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宏观通胀传导</w:t>
            </w:r>
          </w:p>
        </w:tc>
        <w:tc>
          <w:tcPr>
            <w:tcW w:type="dxa" w:w="9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/>
                <w:color w:val="111827"/>
                <w:sz w:val="17"/>
              </w:rPr>
              <w:t>39.9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常规</w:t>
            </w:r>
          </w:p>
        </w:tc>
      </w:tr>
      <w:tr>
        <w:tc>
          <w:tcPr>
            <w:tcW w:type="dxa" w:w="372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7"/>
              </w:rPr>
              <w:t>算力租赁与液冷中小市值标的两融集中度与解禁共振压力测试报告 (2026-08-20)</w:t>
            </w:r>
          </w:p>
        </w:tc>
        <w:tc>
          <w:tcPr>
            <w:tcW w:type="dxa" w:w="156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未识别</w:t>
            </w:r>
          </w:p>
        </w:tc>
        <w:tc>
          <w:tcPr>
            <w:tcW w:type="dxa" w:w="168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AI 基础设施</w:t>
            </w:r>
          </w:p>
        </w:tc>
        <w:tc>
          <w:tcPr>
            <w:tcW w:type="dxa" w:w="9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/>
                <w:color w:val="111827"/>
                <w:sz w:val="17"/>
              </w:rPr>
              <w:t>39.7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风险 2</w:t>
            </w:r>
          </w:p>
        </w:tc>
      </w:tr>
      <w:tr>
        <w:tc>
          <w:tcPr>
            <w:tcW w:type="dxa" w:w="372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7"/>
              </w:rPr>
              <w:t>市场情绪与资金流快照</w:t>
            </w:r>
          </w:p>
        </w:tc>
        <w:tc>
          <w:tcPr>
            <w:tcW w:type="dxa" w:w="156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未识别</w:t>
            </w:r>
          </w:p>
        </w:tc>
        <w:tc>
          <w:tcPr>
            <w:tcW w:type="dxa" w:w="168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AI 基础设施</w:t>
            </w:r>
          </w:p>
        </w:tc>
        <w:tc>
          <w:tcPr>
            <w:tcW w:type="dxa" w:w="9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/>
                <w:color w:val="111827"/>
                <w:sz w:val="17"/>
              </w:rPr>
              <w:t>39.5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风险 1</w:t>
            </w:r>
          </w:p>
        </w:tc>
      </w:tr>
      <w:tr>
        <w:tc>
          <w:tcPr>
            <w:tcW w:type="dxa" w:w="372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7"/>
              </w:rPr>
              <w:t>prior research notes— 地产去库存进度对四季度PMI/CPI修复路径与内需Beta切换时点的验证</w:t>
            </w:r>
          </w:p>
        </w:tc>
        <w:tc>
          <w:tcPr>
            <w:tcW w:type="dxa" w:w="156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未识别</w:t>
            </w:r>
          </w:p>
        </w:tc>
        <w:tc>
          <w:tcPr>
            <w:tcW w:type="dxa" w:w="1680"/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宏观通胀传导</w:t>
            </w:r>
          </w:p>
        </w:tc>
        <w:tc>
          <w:tcPr>
            <w:tcW w:type="dxa" w:w="9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/>
                <w:color w:val="111827"/>
                <w:sz w:val="17"/>
              </w:rPr>
              <w:t>38.7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 w:eastAsia="Arial Unicode MS"/>
                <w:b w:val="0"/>
                <w:color w:val="111827"/>
                <w:sz w:val="16"/>
              </w:rPr>
              <w:t>常规</w:t>
            </w:r>
          </w:p>
        </w:tc>
      </w:tr>
    </w:tbl>
    <w:p>
      <w:pPr>
        <w:spacing w:before="0" w:after="160" w:line="264" w:lineRule="auto"/>
      </w:pPr>
      <w:r>
        <w:rPr>
          <w:rFonts w:ascii="Calibri" w:hAnsi="Calibri" w:eastAsia="Arial Unicode MS"/>
          <w:b w:val="0"/>
          <w:i/>
          <w:color w:val="667085"/>
          <w:sz w:val="17"/>
        </w:rPr>
        <w:t>Table 1. Evidence table excerpt. Full evidence remains available in the interactive daily brief.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Arial Unicode MS"/>
        <w:color w:val="667085"/>
        <w:sz w:val="17"/>
      </w:rPr>
      <w:t>Generated from local AI Institute archive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  <w:r>
      <w:rPr>
        <w:rFonts w:ascii="Calibri" w:hAnsi="Calibri" w:eastAsia="Arial Unicode MS"/>
        <w:color w:val="667085"/>
        <w:sz w:val="18"/>
      </w:rPr>
      <w:t>AI Institute Daily Investor Brief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 w:eastAsia="Arial Unicode MS"/>
      <w:b w:val="0"/>
      <w:color w:val="11182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 w:eastAsia="Arial Unicode MS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 w:eastAsia="Arial Unicode MS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 w:eastAsia="Arial Unicode MS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 w:eastAsia="Arial Unicode MS"/>
      <w:b/>
      <w:color w:val="0B2545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Calibri" w:hAnsi="Calibri" w:eastAsia="Arial Unicode MS"/>
      <w:b w:val="0"/>
      <w:i/>
      <w:iCs/>
      <w:color w:val="475569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reports/archive-71b75bcf6139" TargetMode="External"/><Relationship Id="rId13" Type="http://schemas.openxmlformats.org/officeDocument/2006/relationships/hyperlink" Target="reports/archive-b4ec8ef3430e" TargetMode="External"/><Relationship Id="rId14" Type="http://schemas.openxmlformats.org/officeDocument/2006/relationships/hyperlink" Target="reports/archive-8db7540c71b6" TargetMode="External"/><Relationship Id="rId15" Type="http://schemas.openxmlformats.org/officeDocument/2006/relationships/image" Target="media/image2.png"/><Relationship Id="rId16" Type="http://schemas.openxmlformats.org/officeDocument/2006/relationships/image" Target="media/image3.png"/><Relationship Id="rId17" Type="http://schemas.openxmlformats.org/officeDocument/2006/relationships/image" Target="media/image4.png"/><Relationship Id="rId18" Type="http://schemas.openxmlformats.org/officeDocument/2006/relationships/image" Target="media/image5.png"/><Relationship Id="rId19" Type="http://schemas.openxmlformats.org/officeDocument/2006/relationships/hyperlink" Target="reports/archive-d773402e08de" TargetMode="External"/><Relationship Id="rId20" Type="http://schemas.openxmlformats.org/officeDocument/2006/relationships/hyperlink" Target="reports/archive-390173742556" TargetMode="External"/><Relationship Id="rId21" Type="http://schemas.openxmlformats.org/officeDocument/2006/relationships/hyperlink" Target="reports/archive-1099ee26f4d2" TargetMode="External"/><Relationship Id="rId22" Type="http://schemas.openxmlformats.org/officeDocument/2006/relationships/hyperlink" Target="reports/archive-2d56e813ae6e" TargetMode="External"/><Relationship Id="rId23" Type="http://schemas.openxmlformats.org/officeDocument/2006/relationships/hyperlink" Target="reports/archive-4d6530eea469" TargetMode="External"/><Relationship Id="rId24" Type="http://schemas.openxmlformats.org/officeDocument/2006/relationships/hyperlink" Target="reports/archive-497a81b51eee" TargetMode="External"/><Relationship Id="rId25" Type="http://schemas.openxmlformats.org/officeDocument/2006/relationships/hyperlink" Target="reports/archive-fb62d5d075f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Institute Daily Brief 2026-08-20</dc:title>
  <dc:subject>Daily investor research brief</dc:subject>
  <dc:creator>AI Institute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