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line="264" w:lineRule="auto"/>
      </w:pPr>
      <w:r>
        <w:rPr>
          <w:rFonts w:ascii="Calibri" w:hAnsi="Calibri" w:eastAsia="Arial Unicode MS"/>
          <w:b/>
          <w:i w:val="0"/>
          <w:color w:val="285B9D"/>
          <w:sz w:val="20"/>
        </w:rPr>
        <w:t>AI Institute</w:t>
      </w:r>
    </w:p>
    <w:p>
      <w:pPr>
        <w:pStyle w:val="Title"/>
        <w:spacing w:before="0" w:after="80" w:line="264" w:lineRule="auto"/>
      </w:pPr>
      <w:r>
        <w:rPr>
          <w:rFonts w:ascii="Calibri" w:hAnsi="Calibri" w:eastAsia="Arial Unicode MS"/>
          <w:b w:val="0"/>
          <w:i w:val="0"/>
        </w:rPr>
        <w:t>每日投资研究简报</w:t>
      </w:r>
    </w:p>
    <w:p>
      <w:pPr>
        <w:pStyle w:val="Subtitle"/>
        <w:spacing w:before="0" w:after="240" w:line="264" w:lineRule="auto"/>
      </w:pPr>
      <w:r>
        <w:rPr>
          <w:rFonts w:ascii="Calibri" w:hAnsi="Calibri" w:eastAsia="Arial Unicode MS"/>
          <w:b w:val="0"/>
          <w:i w:val="0"/>
        </w:rPr>
        <w:t>2026-06-30 · webpage screenshot DOCX edition</w:t>
      </w:r>
    </w:p>
    <w:p>
      <w:pPr>
        <w:spacing w:before="0" w:after="160" w:line="264" w:lineRule="auto"/>
      </w:pPr>
      <w:r>
        <w:rPr>
          <w:rFonts w:ascii="Calibri" w:hAnsi="Calibri" w:eastAsia="Arial Unicode MS"/>
          <w:b/>
          <w:i w:val="0"/>
          <w:color w:val="0B2545"/>
          <w:sz w:val="34"/>
        </w:rPr>
        <w:t>宏观通胀传导仍是今日主线，AI 基础设施提供第二层验证。</w:t>
      </w:r>
    </w:p>
    <w:p>
      <w:pPr>
        <w:spacing w:before="0" w:after="240" w:line="264" w:lineRule="auto"/>
      </w:pPr>
      <w:r>
        <w:rPr>
          <w:rFonts w:ascii="Calibri" w:hAnsi="Calibri" w:eastAsia="Arial Unicode MS"/>
          <w:b w:val="0"/>
          <w:i w:val="0"/>
          <w:color w:val="334155"/>
          <w:sz w:val="22"/>
        </w:rPr>
        <w:t>2026-06-30 共纳入 78 篇中文研究结果，覆盖 12 位活跃分析师和 6 条主要行业链，较 2026-06-29 的主题变化可在右侧动量表中核对。简报优先呈现可被报告链接追溯的结论，而不是孤立摘要。</w:t>
      </w:r>
    </w:p>
    <w:tbl>
      <w:tblPr>
        <w:tblW w:type="dxa" w:w="9360"/>
        <w:jc w:val="left"/>
        <w:tblLayout w:type="fixed"/>
        <w:tblLook w:firstColumn="1" w:firstRow="1" w:lastColumn="0" w:lastRow="0" w:noHBand="0" w:noVBand="1" w:val="04A0"/>
      </w:tblPr>
      <w:tblGrid>
        <w:gridCol w:w="2340"/>
        <w:gridCol w:w="2340"/>
        <w:gridCol w:w="2340"/>
        <w:gridCol w:w="2340"/>
      </w:tblGrid>
      <w:tr>
        <w:tc>
          <w:tcPr>
            <w:tcW w:type="dxa" w:w="2340"/>
            <w:vAlign w:val="center"/>
            <w:shd w:fill="F8FAFC"/>
          </w:tcPr>
          <w:p>
            <w:pPr>
              <w:spacing w:after="40"/>
            </w:pPr>
            <w:r>
              <w:rPr>
                <w:rFonts w:ascii="Calibri" w:hAnsi="Calibri" w:eastAsia="Arial Unicode MS"/>
                <w:b/>
                <w:color w:val="667085"/>
                <w:sz w:val="17"/>
              </w:rPr>
              <w:t>今日报告</w:t>
              <w:br/>
            </w:r>
            <w:r>
              <w:rPr>
                <w:rFonts w:ascii="Calibri" w:hAnsi="Calibri" w:eastAsia="Arial Unicode MS"/>
                <w:b/>
                <w:color w:val="285B9D"/>
                <w:sz w:val="36"/>
              </w:rPr>
              <w:t>78</w:t>
            </w:r>
          </w:p>
        </w:tc>
        <w:tc>
          <w:tcPr>
            <w:tcW w:type="dxa" w:w="2340"/>
            <w:vAlign w:val="center"/>
            <w:shd w:fill="F8FAFC"/>
          </w:tcPr>
          <w:p>
            <w:pPr>
              <w:spacing w:after="40"/>
            </w:pPr>
            <w:r>
              <w:rPr>
                <w:rFonts w:ascii="Calibri" w:hAnsi="Calibri" w:eastAsia="Arial Unicode MS"/>
                <w:b/>
                <w:color w:val="667085"/>
                <w:sz w:val="17"/>
              </w:rPr>
              <w:t>活跃分析师</w:t>
              <w:br/>
            </w:r>
            <w:r>
              <w:rPr>
                <w:rFonts w:ascii="Calibri" w:hAnsi="Calibri" w:eastAsia="Arial Unicode MS"/>
                <w:b/>
                <w:color w:val="237A5B"/>
                <w:sz w:val="36"/>
              </w:rPr>
              <w:t>12</w:t>
            </w:r>
          </w:p>
        </w:tc>
        <w:tc>
          <w:tcPr>
            <w:tcW w:type="dxa" w:w="2340"/>
            <w:vAlign w:val="center"/>
            <w:shd w:fill="F8FAFC"/>
          </w:tcPr>
          <w:p>
            <w:pPr>
              <w:spacing w:after="40"/>
            </w:pPr>
            <w:r>
              <w:rPr>
                <w:rFonts w:ascii="Calibri" w:hAnsi="Calibri" w:eastAsia="Arial Unicode MS"/>
                <w:b/>
                <w:color w:val="667085"/>
                <w:sz w:val="17"/>
              </w:rPr>
              <w:t>活跃链条</w:t>
              <w:br/>
            </w:r>
            <w:r>
              <w:rPr>
                <w:rFonts w:ascii="Calibri" w:hAnsi="Calibri" w:eastAsia="Arial Unicode MS"/>
                <w:b/>
                <w:color w:val="A8731B"/>
                <w:sz w:val="36"/>
              </w:rPr>
              <w:t>6</w:t>
            </w:r>
          </w:p>
        </w:tc>
        <w:tc>
          <w:tcPr>
            <w:tcW w:type="dxa" w:w="2340"/>
            <w:vAlign w:val="center"/>
            <w:shd w:fill="F8FAFC"/>
          </w:tcPr>
          <w:p>
            <w:pPr>
              <w:spacing w:after="40"/>
            </w:pPr>
            <w:r>
              <w:rPr>
                <w:rFonts w:ascii="Calibri" w:hAnsi="Calibri" w:eastAsia="Arial Unicode MS"/>
                <w:b/>
                <w:color w:val="667085"/>
                <w:sz w:val="17"/>
              </w:rPr>
              <w:t>风险信号</w:t>
              <w:br/>
            </w:r>
            <w:r>
              <w:rPr>
                <w:rFonts w:ascii="Calibri" w:hAnsi="Calibri" w:eastAsia="Arial Unicode MS"/>
                <w:b/>
                <w:color w:val="B43D49"/>
                <w:sz w:val="36"/>
              </w:rPr>
              <w:t>16</w:t>
            </w:r>
          </w:p>
        </w:tc>
      </w:tr>
    </w:tbl>
    <w:p>
      <w:pPr>
        <w:spacing w:before="0" w:after="160" w:line="264" w:lineRule="auto"/>
      </w:pPr>
    </w:p>
    <w:p>
      <w:pPr>
        <w:spacing w:before="40" w:after="60"/>
        <w:jc w:val="center"/>
      </w:pPr>
      <w:r>
        <w:drawing>
          <wp:inline xmlns:a="http://schemas.openxmlformats.org/drawingml/2006/main" xmlns:pic="http://schemas.openxmlformats.org/drawingml/2006/picture">
            <wp:extent cx="5806440" cy="3870960"/>
            <wp:docPr id="1" name="Picture 1"/>
            <wp:cNvGraphicFramePr>
              <a:graphicFrameLocks noChangeAspect="1"/>
            </wp:cNvGraphicFramePr>
            <a:graphic>
              <a:graphicData uri="http://schemas.openxmlformats.org/drawingml/2006/picture">
                <pic:pic>
                  <pic:nvPicPr>
                    <pic:cNvPr id="0" name="daily-brief-2026-06-30-web-summary.png"/>
                    <pic:cNvPicPr/>
                  </pic:nvPicPr>
                  <pic:blipFill>
                    <a:blip r:embed="rId11"/>
                    <a:stretch>
                      <a:fillRect/>
                    </a:stretch>
                  </pic:blipFill>
                  <pic:spPr>
                    <a:xfrm>
                      <a:off x="0" y="0"/>
                      <a:ext cx="5806440" cy="3870960"/>
                    </a:xfrm>
                    <a:prstGeom prst="rect"/>
                  </pic:spPr>
                </pic:pic>
              </a:graphicData>
            </a:graphic>
          </wp:inline>
        </w:drawing>
      </w:r>
    </w:p>
    <w:p>
      <w:pPr>
        <w:keepNext w:val="0"/>
        <w:spacing w:before="0" w:after="200" w:line="264" w:lineRule="auto"/>
        <w:jc w:val="center"/>
      </w:pPr>
      <w:r>
        <w:rPr>
          <w:rFonts w:ascii="Calibri" w:hAnsi="Calibri" w:eastAsia="Arial Unicode MS"/>
          <w:b w:val="0"/>
          <w:i/>
          <w:color w:val="667085"/>
          <w:sz w:val="17"/>
        </w:rPr>
        <w:t>Figure 1. Webpage snapshot of the daily synthesis and key operating metrics.</w:t>
      </w:r>
    </w:p>
    <w:p>
      <w:pPr>
        <w:pStyle w:val="Heading1"/>
      </w:pPr>
      <w:r>
        <w:t>1. 综合研判</w:t>
      </w:r>
    </w:p>
    <w:p>
      <w:pPr>
        <w:spacing w:after="140"/>
        <w:ind w:left="259" w:hanging="259"/>
      </w:pPr>
      <w:r>
        <w:rPr>
          <w:rFonts w:ascii="Calibri" w:hAnsi="Calibri" w:eastAsia="Arial Unicode MS"/>
          <w:b/>
          <w:color w:val="285B9D"/>
          <w:sz w:val="21"/>
        </w:rPr>
        <w:t xml:space="preserve">主线判断: </w:t>
      </w:r>
      <w:hyperlink r:id="rId12">
        <w:r>
          <w:rPr>
            <w:color w:val="285B9D"/>
            <w:u w:val="single"/>
            <w:rFonts w:eastAsia="Arial Unicode MS" w:ascii="Calibri" w:hAnsi="Calibri"/>
          </w:rPr>
          <w:t>变压器瓶颈下的半导体需求重构：GPU需求收缩与功率半导体机会的量化评估 是今日最高权重结论，核心证据来自 未识别，关联 AI 基础设施。</w:t>
        </w:r>
      </w:hyperlink>
    </w:p>
    <w:p>
      <w:pPr>
        <w:spacing w:after="140"/>
        <w:ind w:left="259" w:hanging="259"/>
      </w:pPr>
      <w:r>
        <w:rPr>
          <w:rFonts w:ascii="Calibri" w:hAnsi="Calibri" w:eastAsia="Arial Unicode MS"/>
          <w:b/>
          <w:color w:val="285B9D"/>
          <w:sz w:val="21"/>
        </w:rPr>
        <w:t xml:space="preserve">变化信号: </w:t>
      </w:r>
      <w:r>
        <w:rPr>
          <w:rFonts w:ascii="Calibri" w:hAnsi="Calibri" w:eastAsia="Arial Unicode MS"/>
          <w:color w:val="111827"/>
          <w:sz w:val="21"/>
        </w:rPr>
        <w:t>宏观 今日 降温，当日计数 67，前一日计数 156。</w:t>
      </w:r>
    </w:p>
    <w:p>
      <w:pPr>
        <w:spacing w:after="140"/>
        <w:ind w:left="259" w:hanging="259"/>
      </w:pPr>
      <w:r>
        <w:rPr>
          <w:rFonts w:ascii="Calibri" w:hAnsi="Calibri" w:eastAsia="Arial Unicode MS"/>
          <w:b/>
          <w:color w:val="285B9D"/>
          <w:sz w:val="21"/>
        </w:rPr>
        <w:t xml:space="preserve">风险焦点: </w:t>
      </w:r>
      <w:hyperlink r:id="rId13">
        <w:r>
          <w:rPr>
            <w:color w:val="285B9D"/>
            <w:u w:val="single"/>
            <w:rFonts w:eastAsia="Arial Unicode MS" w:ascii="Calibri" w:hAnsi="Calibri"/>
          </w:rPr>
          <w:t>风险矩阵最需要跟踪的是 电力与电网：2026-06-25 - 电网硬件瓶颈与 AI 数据中心选址重排。</w:t>
        </w:r>
      </w:hyperlink>
    </w:p>
    <w:p>
      <w:pPr>
        <w:spacing w:after="140"/>
        <w:ind w:left="259" w:hanging="259"/>
      </w:pPr>
      <w:r>
        <w:rPr>
          <w:rFonts w:ascii="Calibri" w:hAnsi="Calibri" w:eastAsia="Arial Unicode MS"/>
          <w:b/>
          <w:color w:val="285B9D"/>
          <w:sz w:val="21"/>
        </w:rPr>
        <w:t xml:space="preserve">证据密度: </w:t>
      </w:r>
      <w:hyperlink r:id="rId14">
        <w:r>
          <w:rPr>
            <w:color w:val="285B9D"/>
            <w:u w:val="single"/>
            <w:rFonts w:eastAsia="Arial Unicode MS" w:ascii="Calibri" w:hAnsi="Calibri"/>
          </w:rPr>
          <w:t>宏观通胀传导 今日 74 条、近七日 1274 条，风险信号 966 条。</w:t>
        </w:r>
      </w:hyperlink>
    </w:p>
    <w:tbl>
      <w:tblPr>
        <w:tblW w:type="dxa" w:w="9360"/>
        <w:jc w:val="left"/>
        <w:tblLayout w:type="fixed"/>
        <w:tblLook w:firstColumn="1" w:firstRow="1" w:lastColumn="0" w:lastRow="0" w:noHBand="0" w:noVBand="1" w:val="04A0"/>
      </w:tblPr>
      <w:tblGrid>
        <w:gridCol w:w="9360"/>
      </w:tblGrid>
      <w:tr>
        <w:tc>
          <w:tcPr>
            <w:tcW w:type="dxa" w:w="9360"/>
            <w:vAlign w:val="center"/>
            <w:shd w:fill="FFF7E6"/>
          </w:tcPr>
          <w:p>
            <w:r>
              <w:rPr>
                <w:rFonts w:ascii="Calibri" w:hAnsi="Calibri" w:eastAsia="Arial Unicode MS"/>
                <w:b/>
                <w:color w:val="7A5A00"/>
                <w:sz w:val="21"/>
              </w:rPr>
              <w:t xml:space="preserve">投资解读: </w:t>
            </w:r>
            <w:r>
              <w:rPr>
                <w:rFonts w:ascii="Calibri" w:hAnsi="Calibri" w:eastAsia="Arial Unicode MS"/>
                <w:color w:val="7C2D12"/>
                <w:sz w:val="21"/>
              </w:rPr>
              <w:t>投资含义上，本日简报更适合作为主题和风险筛选器：先看行业链雷达确认资金关注方向，再用风险矩阵排除证据不足或约束过强的交易表达。</w:t>
            </w:r>
          </w:p>
        </w:tc>
      </w:tr>
    </w:tbl>
    <w:p>
      <w:pPr>
        <w:spacing w:before="0" w:after="120" w:line="264" w:lineRule="auto"/>
      </w:pPr>
    </w:p>
    <w:p>
      <w:pPr>
        <w:pStyle w:val="Heading1"/>
      </w:pPr>
      <w:r>
        <w:t>2. 可视化仪表板</w:t>
      </w:r>
    </w:p>
    <w:p>
      <w:pPr>
        <w:spacing w:before="40" w:after="60"/>
        <w:jc w:val="center"/>
      </w:pPr>
      <w:r>
        <w:drawing>
          <wp:inline xmlns:a="http://schemas.openxmlformats.org/drawingml/2006/main" xmlns:pic="http://schemas.openxmlformats.org/drawingml/2006/picture">
            <wp:extent cx="5806440" cy="3870960"/>
            <wp:docPr id="2" name="Picture 2"/>
            <wp:cNvGraphicFramePr>
              <a:graphicFrameLocks noChangeAspect="1"/>
            </wp:cNvGraphicFramePr>
            <a:graphic>
              <a:graphicData uri="http://schemas.openxmlformats.org/drawingml/2006/picture">
                <pic:pic>
                  <pic:nvPicPr>
                    <pic:cNvPr id="0" name="daily-brief-2026-06-30-web-trend.png"/>
                    <pic:cNvPicPr/>
                  </pic:nvPicPr>
                  <pic:blipFill>
                    <a:blip r:embed="rId15"/>
                    <a:stretch>
                      <a:fillRect/>
                    </a:stretch>
                  </pic:blipFill>
                  <pic:spPr>
                    <a:xfrm>
                      <a:off x="0" y="0"/>
                      <a:ext cx="5806440" cy="3870960"/>
                    </a:xfrm>
                    <a:prstGeom prst="rect"/>
                  </pic:spPr>
                </pic:pic>
              </a:graphicData>
            </a:graphic>
          </wp:inline>
        </w:drawing>
      </w:r>
    </w:p>
    <w:p>
      <w:pPr>
        <w:keepNext w:val="0"/>
        <w:spacing w:before="0" w:after="200" w:line="264" w:lineRule="auto"/>
        <w:jc w:val="center"/>
      </w:pPr>
      <w:r>
        <w:rPr>
          <w:rFonts w:ascii="Calibri" w:hAnsi="Calibri" w:eastAsia="Arial Unicode MS"/>
          <w:b w:val="0"/>
          <w:i/>
          <w:color w:val="667085"/>
          <w:sz w:val="17"/>
        </w:rPr>
        <w:t>Figure 2. Webpage snapshot of topic momentum and daily change signals.</w:t>
      </w:r>
    </w:p>
    <w:p>
      <w:pPr>
        <w:spacing w:before="40" w:after="60"/>
        <w:jc w:val="center"/>
      </w:pPr>
      <w:r>
        <w:drawing>
          <wp:inline xmlns:a="http://schemas.openxmlformats.org/drawingml/2006/main" xmlns:pic="http://schemas.openxmlformats.org/drawingml/2006/picture">
            <wp:extent cx="5806440" cy="3870960"/>
            <wp:docPr id="3" name="Picture 3"/>
            <wp:cNvGraphicFramePr>
              <a:graphicFrameLocks noChangeAspect="1"/>
            </wp:cNvGraphicFramePr>
            <a:graphic>
              <a:graphicData uri="http://schemas.openxmlformats.org/drawingml/2006/picture">
                <pic:pic>
                  <pic:nvPicPr>
                    <pic:cNvPr id="0" name="daily-brief-2026-06-30-web-chains.png"/>
                    <pic:cNvPicPr/>
                  </pic:nvPicPr>
                  <pic:blipFill>
                    <a:blip r:embed="rId16"/>
                    <a:stretch>
                      <a:fillRect/>
                    </a:stretch>
                  </pic:blipFill>
                  <pic:spPr>
                    <a:xfrm>
                      <a:off x="0" y="0"/>
                      <a:ext cx="5806440" cy="3870960"/>
                    </a:xfrm>
                    <a:prstGeom prst="rect"/>
                  </pic:spPr>
                </pic:pic>
              </a:graphicData>
            </a:graphic>
          </wp:inline>
        </w:drawing>
      </w:r>
    </w:p>
    <w:p>
      <w:pPr>
        <w:keepNext w:val="0"/>
        <w:spacing w:before="0" w:after="200" w:line="264" w:lineRule="auto"/>
        <w:jc w:val="center"/>
      </w:pPr>
      <w:r>
        <w:rPr>
          <w:rFonts w:ascii="Calibri" w:hAnsi="Calibri" w:eastAsia="Arial Unicode MS"/>
          <w:b w:val="0"/>
          <w:i/>
          <w:color w:val="667085"/>
          <w:sz w:val="17"/>
        </w:rPr>
        <w:t>Figure 3. Webpage snapshot of industry-chain heat and evidence links.</w:t>
      </w:r>
    </w:p>
    <w:p>
      <w:r>
        <w:br w:type="page"/>
      </w:r>
    </w:p>
    <w:p>
      <w:pPr>
        <w:spacing w:before="40" w:after="60"/>
        <w:jc w:val="center"/>
      </w:pPr>
      <w:r>
        <w:drawing>
          <wp:inline xmlns:a="http://schemas.openxmlformats.org/drawingml/2006/main" xmlns:pic="http://schemas.openxmlformats.org/drawingml/2006/picture">
            <wp:extent cx="5806440" cy="3870960"/>
            <wp:docPr id="4" name="Picture 4"/>
            <wp:cNvGraphicFramePr>
              <a:graphicFrameLocks noChangeAspect="1"/>
            </wp:cNvGraphicFramePr>
            <a:graphic>
              <a:graphicData uri="http://schemas.openxmlformats.org/drawingml/2006/picture">
                <pic:pic>
                  <pic:nvPicPr>
                    <pic:cNvPr id="0" name="daily-brief-2026-06-30-web-risk.png"/>
                    <pic:cNvPicPr/>
                  </pic:nvPicPr>
                  <pic:blipFill>
                    <a:blip r:embed="rId17"/>
                    <a:stretch>
                      <a:fillRect/>
                    </a:stretch>
                  </pic:blipFill>
                  <pic:spPr>
                    <a:xfrm>
                      <a:off x="0" y="0"/>
                      <a:ext cx="5806440" cy="3870960"/>
                    </a:xfrm>
                    <a:prstGeom prst="rect"/>
                  </pic:spPr>
                </pic:pic>
              </a:graphicData>
            </a:graphic>
          </wp:inline>
        </w:drawing>
      </w:r>
    </w:p>
    <w:p>
      <w:pPr>
        <w:keepNext w:val="0"/>
        <w:spacing w:before="0" w:after="200" w:line="264" w:lineRule="auto"/>
        <w:jc w:val="center"/>
      </w:pPr>
      <w:r>
        <w:rPr>
          <w:rFonts w:ascii="Calibri" w:hAnsi="Calibri" w:eastAsia="Arial Unicode MS"/>
          <w:b w:val="0"/>
          <w:i/>
          <w:color w:val="667085"/>
          <w:sz w:val="17"/>
        </w:rPr>
        <w:t>Figure 4. Webpage snapshot of the risk matrix and pressure-test items.</w:t>
      </w:r>
    </w:p>
    <w:p>
      <w:r>
        <w:br w:type="page"/>
      </w:r>
    </w:p>
    <w:p>
      <w:pPr>
        <w:spacing w:before="40" w:after="60"/>
        <w:jc w:val="center"/>
      </w:pPr>
      <w:r>
        <w:drawing>
          <wp:inline xmlns:a="http://schemas.openxmlformats.org/drawingml/2006/main" xmlns:pic="http://schemas.openxmlformats.org/drawingml/2006/picture">
            <wp:extent cx="5806440" cy="3870960"/>
            <wp:docPr id="5" name="Picture 5"/>
            <wp:cNvGraphicFramePr>
              <a:graphicFrameLocks noChangeAspect="1"/>
            </wp:cNvGraphicFramePr>
            <a:graphic>
              <a:graphicData uri="http://schemas.openxmlformats.org/drawingml/2006/picture">
                <pic:pic>
                  <pic:nvPicPr>
                    <pic:cNvPr id="0" name="daily-brief-2026-06-30-web-heatmap.png"/>
                    <pic:cNvPicPr/>
                  </pic:nvPicPr>
                  <pic:blipFill>
                    <a:blip r:embed="rId18"/>
                    <a:stretch>
                      <a:fillRect/>
                    </a:stretch>
                  </pic:blipFill>
                  <pic:spPr>
                    <a:xfrm>
                      <a:off x="0" y="0"/>
                      <a:ext cx="5806440" cy="3870960"/>
                    </a:xfrm>
                    <a:prstGeom prst="rect"/>
                  </pic:spPr>
                </pic:pic>
              </a:graphicData>
            </a:graphic>
          </wp:inline>
        </w:drawing>
      </w:r>
    </w:p>
    <w:p>
      <w:pPr>
        <w:keepNext w:val="0"/>
        <w:spacing w:before="0" w:after="200" w:line="264" w:lineRule="auto"/>
        <w:jc w:val="center"/>
      </w:pPr>
      <w:r>
        <w:rPr>
          <w:rFonts w:ascii="Calibri" w:hAnsi="Calibri" w:eastAsia="Arial Unicode MS"/>
          <w:b w:val="0"/>
          <w:i/>
          <w:color w:val="667085"/>
          <w:sz w:val="17"/>
        </w:rPr>
        <w:t>Figure 5. Webpage snapshot of analyst activity and ranked conclusions.</w:t>
      </w:r>
    </w:p>
    <w:p>
      <w:pPr>
        <w:pStyle w:val="Heading1"/>
      </w:pPr>
      <w:r>
        <w:t>3. 今日核心结论</w:t>
      </w:r>
    </w:p>
    <w:p>
      <w:pPr>
        <w:spacing w:before="0" w:after="40" w:line="264" w:lineRule="auto"/>
      </w:pPr>
      <w:r>
        <w:rPr>
          <w:rFonts w:ascii="Calibri" w:hAnsi="Calibri" w:eastAsia="Arial Unicode MS"/>
          <w:b/>
          <w:i w:val="0"/>
          <w:color w:val="0B2545"/>
          <w:sz w:val="23"/>
        </w:rPr>
        <w:t>1. 变压器瓶颈下的半导体需求重构：GPU需求收缩与功率半导体机会的量化评估</w:t>
      </w:r>
    </w:p>
    <w:p>
      <w:pPr>
        <w:spacing w:before="0" w:after="40" w:line="264" w:lineRule="auto"/>
      </w:pPr>
      <w:r>
        <w:rPr>
          <w:rFonts w:ascii="Calibri" w:hAnsi="Calibri" w:eastAsia="Arial Unicode MS"/>
          <w:b w:val="0"/>
          <w:i w:val="0"/>
          <w:color w:val="667085"/>
          <w:sz w:val="17"/>
        </w:rPr>
        <w:t>未识别 · AI 基础设施 · score 55.2</w:t>
      </w:r>
    </w:p>
    <w:p>
      <w:pPr>
        <w:spacing w:before="0" w:after="100" w:line="264" w:lineRule="auto"/>
      </w:pPr>
      <w:r>
        <w:rPr>
          <w:rFonts w:ascii="Calibri" w:hAnsi="Calibri" w:eastAsia="Arial Unicode MS"/>
          <w:b w:val="0"/>
          <w:i w:val="0"/>
          <w:color w:val="334155"/>
          <w:sz w:val="20"/>
        </w:rPr>
        <w:t>报告日期： 2026-06-30 研究会话 ID： 3866f259-2bc2-4c91-9b19-31e5f0abd57f 研究记录索引： 08/08 分析师： 半导体分析师 ( semiconductors-analyst ) 研究立场： 压力测试 (Stress-Test)</w:t>
      </w:r>
    </w:p>
    <w:p>
      <w:pPr>
        <w:spacing w:before="0" w:after="160" w:line="264" w:lineRule="auto"/>
      </w:pPr>
      <w:r>
        <w:rPr>
          <w:rFonts w:ascii="Calibri" w:hAnsi="Calibri" w:eastAsia="Arial Unicode MS"/>
          <w:b w:val="0"/>
          <w:i w:val="0"/>
          <w:color w:val="667085"/>
          <w:sz w:val="17"/>
        </w:rPr>
        <w:t xml:space="preserve">Report: </w:t>
      </w:r>
      <w:hyperlink r:id="rId12">
        <w:r>
          <w:rPr>
            <w:color w:val="285B9D"/>
            <w:u w:val="single"/>
            <w:rFonts w:eastAsia="Arial Unicode MS" w:ascii="Calibri" w:hAnsi="Calibri"/>
          </w:rPr>
          <w:t>reports/archive-f2519cad3c01</w:t>
        </w:r>
      </w:hyperlink>
    </w:p>
    <w:p>
      <w:pPr>
        <w:spacing w:before="0" w:after="40" w:line="264" w:lineRule="auto"/>
      </w:pPr>
      <w:r>
        <w:rPr>
          <w:rFonts w:ascii="Calibri" w:hAnsi="Calibri" w:eastAsia="Arial Unicode MS"/>
          <w:b/>
          <w:i w:val="0"/>
          <w:color w:val="0B2545"/>
          <w:sz w:val="23"/>
        </w:rPr>
        <w:t>2. 2026-06-30 压力测试：电力成本不确定性、电网费率重构与BTM对西部AI算力大基地Capex效率的拖累</w:t>
      </w:r>
    </w:p>
    <w:p>
      <w:pPr>
        <w:spacing w:before="0" w:after="40" w:line="264" w:lineRule="auto"/>
      </w:pPr>
      <w:r>
        <w:rPr>
          <w:rFonts w:ascii="Calibri" w:hAnsi="Calibri" w:eastAsia="Arial Unicode MS"/>
          <w:b w:val="0"/>
          <w:i w:val="0"/>
          <w:color w:val="667085"/>
          <w:sz w:val="17"/>
        </w:rPr>
        <w:t>未识别 · AI 基础设施 · score 52.2</w:t>
      </w:r>
    </w:p>
    <w:p>
      <w:pPr>
        <w:spacing w:before="0" w:after="100" w:line="264" w:lineRule="auto"/>
      </w:pPr>
      <w:r>
        <w:rPr>
          <w:rFonts w:ascii="Calibri" w:hAnsi="Calibri" w:eastAsia="Arial Unicode MS"/>
          <w:b w:val="0"/>
          <w:i w:val="0"/>
          <w:color w:val="334155"/>
          <w:sz w:val="20"/>
        </w:rPr>
        <w:t>2026-06-30 压力测试：电力成本不确定性、电网费率重构与BTM对西部AI算力大基地Capex效率的拖累</w:t>
      </w:r>
    </w:p>
    <w:p>
      <w:pPr>
        <w:spacing w:before="0" w:after="160" w:line="264" w:lineRule="auto"/>
      </w:pPr>
      <w:r>
        <w:rPr>
          <w:rFonts w:ascii="Calibri" w:hAnsi="Calibri" w:eastAsia="Arial Unicode MS"/>
          <w:b w:val="0"/>
          <w:i w:val="0"/>
          <w:color w:val="667085"/>
          <w:sz w:val="17"/>
        </w:rPr>
        <w:t xml:space="preserve">Report: </w:t>
      </w:r>
      <w:hyperlink r:id="rId19">
        <w:r>
          <w:rPr>
            <w:color w:val="285B9D"/>
            <w:u w:val="single"/>
            <w:rFonts w:eastAsia="Arial Unicode MS" w:ascii="Calibri" w:hAnsi="Calibri"/>
          </w:rPr>
          <w:t>reports/archive-f8a64dc0b313</w:t>
        </w:r>
      </w:hyperlink>
    </w:p>
    <w:p>
      <w:pPr>
        <w:spacing w:before="0" w:after="40" w:line="264" w:lineRule="auto"/>
      </w:pPr>
      <w:r>
        <w:rPr>
          <w:rFonts w:ascii="Calibri" w:hAnsi="Calibri" w:eastAsia="Arial Unicode MS"/>
          <w:b/>
          <w:i w:val="0"/>
          <w:color w:val="0B2545"/>
          <w:sz w:val="23"/>
        </w:rPr>
        <w:t>3. 物理电网的铁律：电网扩容瓶颈与变压器供应链弹性对撞 AI 负荷的极限压力测试</w:t>
      </w:r>
    </w:p>
    <w:p>
      <w:pPr>
        <w:spacing w:before="0" w:after="40" w:line="264" w:lineRule="auto"/>
      </w:pPr>
      <w:r>
        <w:rPr>
          <w:rFonts w:ascii="Calibri" w:hAnsi="Calibri" w:eastAsia="Arial Unicode MS"/>
          <w:b w:val="0"/>
          <w:i w:val="0"/>
          <w:color w:val="667085"/>
          <w:sz w:val="17"/>
        </w:rPr>
        <w:t>未识别 · 电力与电网 · score 51.2</w:t>
      </w:r>
    </w:p>
    <w:p>
      <w:pPr>
        <w:spacing w:before="0" w:after="100" w:line="264" w:lineRule="auto"/>
      </w:pPr>
      <w:r>
        <w:rPr>
          <w:rFonts w:ascii="Calibri" w:hAnsi="Calibri" w:eastAsia="Arial Unicode MS"/>
          <w:b w:val="0"/>
          <w:i w:val="0"/>
          <w:color w:val="334155"/>
          <w:sz w:val="20"/>
        </w:rPr>
        <w:t>物理电网的铁律：电网扩容瓶颈与变压器供应链弹性对撞 AI 负荷的极限压力测试</w:t>
      </w:r>
    </w:p>
    <w:p>
      <w:pPr>
        <w:spacing w:before="0" w:after="160" w:line="264" w:lineRule="auto"/>
      </w:pPr>
      <w:r>
        <w:rPr>
          <w:rFonts w:ascii="Calibri" w:hAnsi="Calibri" w:eastAsia="Arial Unicode MS"/>
          <w:b w:val="0"/>
          <w:i w:val="0"/>
          <w:color w:val="667085"/>
          <w:sz w:val="17"/>
        </w:rPr>
        <w:t xml:space="preserve">Report: </w:t>
      </w:r>
      <w:hyperlink r:id="rId20">
        <w:r>
          <w:rPr>
            <w:color w:val="285B9D"/>
            <w:u w:val="single"/>
            <w:rFonts w:eastAsia="Arial Unicode MS" w:ascii="Calibri" w:hAnsi="Calibri"/>
          </w:rPr>
          <w:t>reports/archive-f628fbad161e</w:t>
        </w:r>
      </w:hyperlink>
    </w:p>
    <w:p>
      <w:pPr>
        <w:spacing w:before="0" w:after="40" w:line="264" w:lineRule="auto"/>
      </w:pPr>
      <w:r>
        <w:rPr>
          <w:rFonts w:ascii="Calibri" w:hAnsi="Calibri" w:eastAsia="Arial Unicode MS"/>
          <w:b/>
          <w:i w:val="0"/>
          <w:color w:val="0B2545"/>
          <w:sz w:val="23"/>
        </w:rPr>
        <w:t>4. 电力设备利润率压力测试：铜、铝价格波动是否会突破现有调价条款？</w:t>
      </w:r>
    </w:p>
    <w:p>
      <w:pPr>
        <w:spacing w:before="0" w:after="40" w:line="264" w:lineRule="auto"/>
      </w:pPr>
      <w:r>
        <w:rPr>
          <w:rFonts w:ascii="Calibri" w:hAnsi="Calibri" w:eastAsia="Arial Unicode MS"/>
          <w:b w:val="0"/>
          <w:i w:val="0"/>
          <w:color w:val="667085"/>
          <w:sz w:val="17"/>
        </w:rPr>
        <w:t>未识别 · 宏观通胀传导 · score 50.8</w:t>
      </w:r>
    </w:p>
    <w:p>
      <w:pPr>
        <w:spacing w:before="0" w:after="100" w:line="264" w:lineRule="auto"/>
      </w:pPr>
      <w:r>
        <w:rPr>
          <w:rFonts w:ascii="Calibri" w:hAnsi="Calibri" w:eastAsia="Arial Unicode MS"/>
          <w:b w:val="0"/>
          <w:i w:val="0"/>
          <w:color w:val="334155"/>
          <w:sz w:val="20"/>
        </w:rPr>
        <w:t>报告日期： 2026-06-30（亚洲/新加坡） - 分析师 ID： materials-analyst - 研究 Board ID： 0189b1fd-bb59-49bc-bd91-ed2199208774 - 研究记录 - 立场： 压力测试（对 prior research notes"调...</w:t>
      </w:r>
    </w:p>
    <w:p>
      <w:pPr>
        <w:spacing w:before="0" w:after="160" w:line="264" w:lineRule="auto"/>
      </w:pPr>
      <w:r>
        <w:rPr>
          <w:rFonts w:ascii="Calibri" w:hAnsi="Calibri" w:eastAsia="Arial Unicode MS"/>
          <w:b w:val="0"/>
          <w:i w:val="0"/>
          <w:color w:val="667085"/>
          <w:sz w:val="17"/>
        </w:rPr>
        <w:t xml:space="preserve">Report: </w:t>
      </w:r>
      <w:hyperlink r:id="rId21">
        <w:r>
          <w:rPr>
            <w:color w:val="285B9D"/>
            <w:u w:val="single"/>
            <w:rFonts w:eastAsia="Arial Unicode MS" w:ascii="Calibri" w:hAnsi="Calibri"/>
          </w:rPr>
          <w:t>reports/archive-aa9e9ca50320</w:t>
        </w:r>
      </w:hyperlink>
    </w:p>
    <w:p>
      <w:pPr>
        <w:spacing w:before="0" w:after="40" w:line="264" w:lineRule="auto"/>
      </w:pPr>
      <w:r>
        <w:rPr>
          <w:rFonts w:ascii="Calibri" w:hAnsi="Calibri" w:eastAsia="Arial Unicode MS"/>
          <w:b/>
          <w:i w:val="0"/>
          <w:color w:val="0B2545"/>
          <w:sz w:val="23"/>
        </w:rPr>
        <w:t>5. 物理供应链天花板：国产 HBM 与先进封装对 AI 算力集群规模与密度扩张的决定性制约（2026）</w:t>
      </w:r>
    </w:p>
    <w:p>
      <w:pPr>
        <w:spacing w:before="0" w:after="40" w:line="264" w:lineRule="auto"/>
      </w:pPr>
      <w:r>
        <w:rPr>
          <w:rFonts w:ascii="Calibri" w:hAnsi="Calibri" w:eastAsia="Arial Unicode MS"/>
          <w:b w:val="0"/>
          <w:i w:val="0"/>
          <w:color w:val="667085"/>
          <w:sz w:val="17"/>
        </w:rPr>
        <w:t>未识别 · AI 基础设施 · score 50.0</w:t>
      </w:r>
    </w:p>
    <w:p>
      <w:pPr>
        <w:spacing w:before="0" w:after="100" w:line="264" w:lineRule="auto"/>
      </w:pPr>
      <w:r>
        <w:rPr>
          <w:rFonts w:ascii="Calibri" w:hAnsi="Calibri" w:eastAsia="Arial Unicode MS"/>
          <w:b w:val="0"/>
          <w:i w:val="0"/>
          <w:color w:val="334155"/>
          <w:sz w:val="20"/>
        </w:rPr>
        <w:t>物理供应链天花板：国产 HBM 与先进封装对 AI 算力集群规模与密度扩张的决定性制约（2026）</w:t>
      </w:r>
    </w:p>
    <w:p>
      <w:pPr>
        <w:spacing w:before="0" w:after="160" w:line="264" w:lineRule="auto"/>
      </w:pPr>
      <w:r>
        <w:rPr>
          <w:rFonts w:ascii="Calibri" w:hAnsi="Calibri" w:eastAsia="Arial Unicode MS"/>
          <w:b w:val="0"/>
          <w:i w:val="0"/>
          <w:color w:val="667085"/>
          <w:sz w:val="17"/>
        </w:rPr>
        <w:t xml:space="preserve">Report: </w:t>
      </w:r>
      <w:hyperlink r:id="rId22">
        <w:r>
          <w:rPr>
            <w:color w:val="285B9D"/>
            <w:u w:val="single"/>
            <w:rFonts w:eastAsia="Arial Unicode MS" w:ascii="Calibri" w:hAnsi="Calibri"/>
          </w:rPr>
          <w:t>reports/archive-12fc3431cd22</w:t>
        </w:r>
      </w:hyperlink>
    </w:p>
    <w:p>
      <w:pPr>
        <w:spacing w:before="0" w:after="40" w:line="264" w:lineRule="auto"/>
      </w:pPr>
      <w:r>
        <w:rPr>
          <w:rFonts w:ascii="Calibri" w:hAnsi="Calibri" w:eastAsia="Arial Unicode MS"/>
          <w:b/>
          <w:i w:val="0"/>
          <w:color w:val="0B2545"/>
          <w:sz w:val="23"/>
        </w:rPr>
        <w:t>6. AI算力需求激增与电网扩容物理瓶颈：清洁制造转型龙头利润率的压力测试</w:t>
      </w:r>
    </w:p>
    <w:p>
      <w:pPr>
        <w:spacing w:before="0" w:after="40" w:line="264" w:lineRule="auto"/>
      </w:pPr>
      <w:r>
        <w:rPr>
          <w:rFonts w:ascii="Calibri" w:hAnsi="Calibri" w:eastAsia="Arial Unicode MS"/>
          <w:b w:val="0"/>
          <w:i w:val="0"/>
          <w:color w:val="667085"/>
          <w:sz w:val="17"/>
        </w:rPr>
        <w:t>未识别 · AI 基础设施 · score 49.1</w:t>
      </w:r>
    </w:p>
    <w:p>
      <w:pPr>
        <w:spacing w:before="0" w:after="100" w:line="264" w:lineRule="auto"/>
      </w:pPr>
      <w:r>
        <w:rPr>
          <w:rFonts w:ascii="Calibri" w:hAnsi="Calibri" w:eastAsia="Arial Unicode MS"/>
          <w:b w:val="0"/>
          <w:i w:val="0"/>
          <w:color w:val="334155"/>
          <w:sz w:val="20"/>
        </w:rPr>
        <w:t>报告日期： 2026-06-30 (Asia/Singapore) 研究记录索引： 5/10 分析师： AI基础设施分析师 (ID: ai-infrastructure-analyst) 立场： 压力测试 (Stress-Test)</w:t>
      </w:r>
    </w:p>
    <w:p>
      <w:pPr>
        <w:spacing w:before="0" w:after="160" w:line="264" w:lineRule="auto"/>
      </w:pPr>
      <w:r>
        <w:rPr>
          <w:rFonts w:ascii="Calibri" w:hAnsi="Calibri" w:eastAsia="Arial Unicode MS"/>
          <w:b w:val="0"/>
          <w:i w:val="0"/>
          <w:color w:val="667085"/>
          <w:sz w:val="17"/>
        </w:rPr>
        <w:t xml:space="preserve">Report: </w:t>
      </w:r>
      <w:hyperlink r:id="rId23">
        <w:r>
          <w:rPr>
            <w:color w:val="285B9D"/>
            <w:u w:val="single"/>
            <w:rFonts w:eastAsia="Arial Unicode MS" w:ascii="Calibri" w:hAnsi="Calibri"/>
          </w:rPr>
          <w:t>reports/archive-95f0d6f2de3d</w:t>
        </w:r>
      </w:hyperlink>
    </w:p>
    <w:p>
      <w:pPr>
        <w:pStyle w:val="Heading1"/>
      </w:pPr>
      <w:r>
        <w:t>4. 重点跟踪事项</w:t>
      </w:r>
    </w:p>
    <w:p>
      <w:pPr>
        <w:spacing w:before="0" w:after="40" w:line="264" w:lineRule="auto"/>
      </w:pPr>
      <w:r>
        <w:rPr>
          <w:rFonts w:ascii="Calibri" w:hAnsi="Calibri" w:eastAsia="Arial Unicode MS"/>
          <w:b/>
          <w:i w:val="0"/>
          <w:color w:val="0B2545"/>
          <w:sz w:val="22"/>
        </w:rPr>
        <w:t>2026-06-25 - 电网硬件瓶颈与 AI 数据中心选址重排</w:t>
      </w:r>
    </w:p>
    <w:p>
      <w:pPr>
        <w:spacing w:before="0" w:after="60" w:line="264" w:lineRule="auto"/>
      </w:pPr>
      <w:r>
        <w:rPr>
          <w:rFonts w:ascii="Calibri" w:hAnsi="Calibri" w:eastAsia="Arial Unicode MS"/>
          <w:b w:val="0"/>
          <w:i w:val="0"/>
          <w:color w:val="334155"/>
          <w:sz w:val="20"/>
        </w:rPr>
        <w:t>电力与电网，影响 5 / 概率 4</w:t>
      </w:r>
    </w:p>
    <w:p>
      <w:pPr>
        <w:spacing w:before="0" w:after="160" w:line="264" w:lineRule="auto"/>
      </w:pPr>
      <w:r>
        <w:rPr>
          <w:rFonts w:ascii="Calibri" w:hAnsi="Calibri" w:eastAsia="Arial Unicode MS"/>
          <w:b w:val="0"/>
          <w:i w:val="0"/>
          <w:color w:val="667085"/>
          <w:sz w:val="17"/>
        </w:rPr>
        <w:t xml:space="preserve">Report: </w:t>
      </w:r>
      <w:hyperlink r:id="rId13">
        <w:r>
          <w:rPr>
            <w:color w:val="285B9D"/>
            <w:u w:val="single"/>
            <w:rFonts w:eastAsia="Arial Unicode MS" w:ascii="Calibri" w:hAnsi="Calibri"/>
          </w:rPr>
          <w:t>reports/archive-ce9eb6c137b8</w:t>
        </w:r>
      </w:hyperlink>
    </w:p>
    <w:p>
      <w:pPr>
        <w:spacing w:before="0" w:after="40" w:line="264" w:lineRule="auto"/>
      </w:pPr>
      <w:r>
        <w:rPr>
          <w:rFonts w:ascii="Calibri" w:hAnsi="Calibri" w:eastAsia="Arial Unicode MS"/>
          <w:b/>
          <w:i w:val="0"/>
          <w:color w:val="0B2545"/>
          <w:sz w:val="22"/>
        </w:rPr>
        <w:t>关键电力设备（变压器／开关／UPS）的交付周期与产能约束评估</w:t>
      </w:r>
    </w:p>
    <w:p>
      <w:pPr>
        <w:spacing w:before="0" w:after="60" w:line="264" w:lineRule="auto"/>
      </w:pPr>
      <w:r>
        <w:rPr>
          <w:rFonts w:ascii="Calibri" w:hAnsi="Calibri" w:eastAsia="Arial Unicode MS"/>
          <w:b w:val="0"/>
          <w:i w:val="0"/>
          <w:color w:val="334155"/>
          <w:sz w:val="20"/>
        </w:rPr>
        <w:t>工业供给瓶颈，影响 5 / 概率 3</w:t>
      </w:r>
    </w:p>
    <w:p>
      <w:pPr>
        <w:spacing w:before="0" w:after="160" w:line="264" w:lineRule="auto"/>
      </w:pPr>
      <w:r>
        <w:rPr>
          <w:rFonts w:ascii="Calibri" w:hAnsi="Calibri" w:eastAsia="Arial Unicode MS"/>
          <w:b w:val="0"/>
          <w:i w:val="0"/>
          <w:color w:val="667085"/>
          <w:sz w:val="17"/>
        </w:rPr>
        <w:t xml:space="preserve">Report: </w:t>
      </w:r>
      <w:hyperlink r:id="rId24">
        <w:r>
          <w:rPr>
            <w:color w:val="285B9D"/>
            <w:u w:val="single"/>
            <w:rFonts w:eastAsia="Arial Unicode MS" w:ascii="Calibri" w:hAnsi="Calibri"/>
          </w:rPr>
          <w:t>reports/archive-17e7b8b9bc0c</w:t>
        </w:r>
      </w:hyperlink>
    </w:p>
    <w:p>
      <w:pPr>
        <w:spacing w:before="0" w:after="40" w:line="264" w:lineRule="auto"/>
      </w:pPr>
      <w:r>
        <w:rPr>
          <w:rFonts w:ascii="Calibri" w:hAnsi="Calibri" w:eastAsia="Arial Unicode MS"/>
          <w:b/>
          <w:i w:val="0"/>
          <w:color w:val="0B2545"/>
          <w:sz w:val="22"/>
        </w:rPr>
        <w:t>全球电力设备制造供应链：产能 vs. 上游材料风险</w:t>
      </w:r>
    </w:p>
    <w:p>
      <w:pPr>
        <w:spacing w:before="0" w:after="60" w:line="264" w:lineRule="auto"/>
      </w:pPr>
      <w:r>
        <w:rPr>
          <w:rFonts w:ascii="Calibri" w:hAnsi="Calibri" w:eastAsia="Arial Unicode MS"/>
          <w:b w:val="0"/>
          <w:i w:val="0"/>
          <w:color w:val="334155"/>
          <w:sz w:val="20"/>
        </w:rPr>
        <w:t>工业供给瓶颈，影响 5 / 概率 5</w:t>
      </w:r>
    </w:p>
    <w:p>
      <w:pPr>
        <w:spacing w:before="0" w:after="160" w:line="264" w:lineRule="auto"/>
      </w:pPr>
      <w:r>
        <w:rPr>
          <w:rFonts w:ascii="Calibri" w:hAnsi="Calibri" w:eastAsia="Arial Unicode MS"/>
          <w:b w:val="0"/>
          <w:i w:val="0"/>
          <w:color w:val="667085"/>
          <w:sz w:val="17"/>
        </w:rPr>
        <w:t xml:space="preserve">Report: </w:t>
      </w:r>
      <w:hyperlink r:id="rId25">
        <w:r>
          <w:rPr>
            <w:color w:val="285B9D"/>
            <w:u w:val="single"/>
            <w:rFonts w:eastAsia="Arial Unicode MS" w:ascii="Calibri" w:hAnsi="Calibri"/>
          </w:rPr>
          <w:t>reports/archive-69b7df8b3057</w:t>
        </w:r>
      </w:hyperlink>
    </w:p>
    <w:p>
      <w:pPr>
        <w:pStyle w:val="Heading1"/>
      </w:pPr>
      <w:r>
        <w:t>5. 证据表</w:t>
      </w:r>
    </w:p>
    <w:tbl>
      <w:tblPr>
        <w:tblW w:type="dxa" w:w="9360"/>
        <w:jc w:val="left"/>
        <w:tblLayout w:type="fixed"/>
        <w:tblLook w:firstColumn="1" w:firstRow="1" w:lastColumn="0" w:lastRow="0" w:noHBand="0" w:noVBand="1" w:val="04A0"/>
      </w:tblPr>
      <w:tblGrid>
        <w:gridCol w:w="3720"/>
        <w:gridCol w:w="1560"/>
        <w:gridCol w:w="1680"/>
        <w:gridCol w:w="900"/>
        <w:gridCol w:w="1500"/>
      </w:tblGrid>
      <w:tr>
        <w:tc>
          <w:tcPr>
            <w:tcW w:type="dxa" w:w="3720"/>
            <w:vAlign w:val="center"/>
            <w:shd w:fill="F2F4F7"/>
          </w:tcPr>
          <w:p>
            <w:pPr>
              <w:spacing w:before="0" w:after="0"/>
              <w:jc w:val="center"/>
            </w:pPr>
            <w:r/>
            <w:r>
              <w:rPr>
                <w:rFonts w:ascii="Calibri" w:hAnsi="Calibri" w:eastAsia="Arial Unicode MS"/>
                <w:b/>
                <w:color w:val="475569"/>
                <w:sz w:val="18"/>
              </w:rPr>
              <w:t>报告</w:t>
            </w:r>
          </w:p>
        </w:tc>
        <w:tc>
          <w:tcPr>
            <w:tcW w:type="dxa" w:w="1560"/>
            <w:vAlign w:val="center"/>
            <w:shd w:fill="F2F4F7"/>
          </w:tcPr>
          <w:p>
            <w:pPr>
              <w:spacing w:before="0" w:after="0"/>
              <w:jc w:val="center"/>
            </w:pPr>
            <w:r/>
            <w:r>
              <w:rPr>
                <w:rFonts w:ascii="Calibri" w:hAnsi="Calibri" w:eastAsia="Arial Unicode MS"/>
                <w:b/>
                <w:color w:val="475569"/>
                <w:sz w:val="18"/>
              </w:rPr>
              <w:t>分析师</w:t>
            </w:r>
          </w:p>
        </w:tc>
        <w:tc>
          <w:tcPr>
            <w:tcW w:type="dxa" w:w="1680"/>
            <w:vAlign w:val="center"/>
            <w:shd w:fill="F2F4F7"/>
          </w:tcPr>
          <w:p>
            <w:pPr>
              <w:spacing w:before="0" w:after="0"/>
              <w:jc w:val="center"/>
            </w:pPr>
            <w:r/>
            <w:r>
              <w:rPr>
                <w:rFonts w:ascii="Calibri" w:hAnsi="Calibri" w:eastAsia="Arial Unicode MS"/>
                <w:b/>
                <w:color w:val="475569"/>
                <w:sz w:val="18"/>
              </w:rPr>
              <w:t>行业链</w:t>
            </w:r>
          </w:p>
        </w:tc>
        <w:tc>
          <w:tcPr>
            <w:tcW w:type="dxa" w:w="900"/>
            <w:vAlign w:val="center"/>
            <w:shd w:fill="F2F4F7"/>
          </w:tcPr>
          <w:p>
            <w:pPr>
              <w:spacing w:before="0" w:after="0"/>
              <w:jc w:val="center"/>
            </w:pPr>
            <w:r/>
            <w:r>
              <w:rPr>
                <w:rFonts w:ascii="Calibri" w:hAnsi="Calibri" w:eastAsia="Arial Unicode MS"/>
                <w:b/>
                <w:color w:val="475569"/>
                <w:sz w:val="18"/>
              </w:rPr>
              <w:t>评分</w:t>
            </w:r>
          </w:p>
        </w:tc>
        <w:tc>
          <w:tcPr>
            <w:tcW w:type="dxa" w:w="1500"/>
            <w:vAlign w:val="center"/>
            <w:shd w:fill="F2F4F7"/>
          </w:tcPr>
          <w:p>
            <w:pPr>
              <w:spacing w:before="0" w:after="0"/>
              <w:jc w:val="center"/>
            </w:pPr>
            <w:r/>
            <w:r>
              <w:rPr>
                <w:rFonts w:ascii="Calibri" w:hAnsi="Calibri" w:eastAsia="Arial Unicode MS"/>
                <w:b/>
                <w:color w:val="475569"/>
                <w:sz w:val="18"/>
              </w:rPr>
              <w:t>风险</w:t>
            </w:r>
          </w:p>
        </w:tc>
      </w:tr>
      <w:tr>
        <w:tc>
          <w:tcPr>
            <w:tcW w:type="dxa" w:w="3720"/>
            <w:vAlign w:val="center"/>
          </w:tcPr>
          <w:p>
            <w:pPr>
              <w:spacing w:before="0" w:after="0"/>
            </w:pPr>
            <w:r/>
            <w:r>
              <w:rPr>
                <w:rFonts w:ascii="Calibri" w:hAnsi="Calibri" w:eastAsia="Arial Unicode MS"/>
                <w:b w:val="0"/>
                <w:color w:val="111827"/>
                <w:sz w:val="17"/>
              </w:rPr>
              <w:t>变压器瓶颈下的半导体需求重构：GPU需求收缩与功率半导体机会的量化评估</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55.2</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2026-06-30 压力测试：电力成本不确定性、电网费率重构与BTM对西部AI算力大基地Capex效率的拖累</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52.2</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物理电网的铁律：电网扩容瓶颈与变压器供应链弹性对撞 AI 负荷的极限压力测试</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电力与电网</w:t>
            </w:r>
          </w:p>
        </w:tc>
        <w:tc>
          <w:tcPr>
            <w:tcW w:type="dxa" w:w="900"/>
            <w:vAlign w:val="center"/>
          </w:tcPr>
          <w:p>
            <w:pPr>
              <w:spacing w:before="0" w:after="0"/>
              <w:jc w:val="center"/>
            </w:pPr>
            <w:r/>
            <w:r>
              <w:rPr>
                <w:rFonts w:ascii="Calibri" w:hAnsi="Calibri" w:eastAsia="Arial Unicode MS"/>
                <w:b/>
                <w:color w:val="111827"/>
                <w:sz w:val="17"/>
              </w:rPr>
              <w:t>51.2</w:t>
            </w:r>
          </w:p>
        </w:tc>
        <w:tc>
          <w:tcPr>
            <w:tcW w:type="dxa" w:w="1500"/>
            <w:vAlign w:val="center"/>
          </w:tcPr>
          <w:p>
            <w:pPr>
              <w:spacing w:before="0" w:after="0"/>
              <w:jc w:val="center"/>
            </w:pPr>
            <w:r/>
            <w:r>
              <w:rPr>
                <w:rFonts w:ascii="Calibri" w:hAnsi="Calibri" w:eastAsia="Arial Unicode MS"/>
                <w:b w:val="0"/>
                <w:color w:val="111827"/>
                <w:sz w:val="16"/>
              </w:rPr>
              <w:t>风险 3</w:t>
            </w:r>
          </w:p>
        </w:tc>
      </w:tr>
      <w:tr>
        <w:tc>
          <w:tcPr>
            <w:tcW w:type="dxa" w:w="3720"/>
            <w:vAlign w:val="center"/>
          </w:tcPr>
          <w:p>
            <w:pPr>
              <w:spacing w:before="0" w:after="0"/>
            </w:pPr>
            <w:r/>
            <w:r>
              <w:rPr>
                <w:rFonts w:ascii="Calibri" w:hAnsi="Calibri" w:eastAsia="Arial Unicode MS"/>
                <w:b w:val="0"/>
                <w:color w:val="111827"/>
                <w:sz w:val="17"/>
              </w:rPr>
              <w:t>电力设备利润率压力测试：铜、铝价格波动是否会突破现有调价条款？</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50.8</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物理供应链天花板：国产 HBM 与先进封装对 AI 算力集群规模与密度扩张的决定性制约（2026）</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50.0</w:t>
            </w:r>
          </w:p>
        </w:tc>
        <w:tc>
          <w:tcPr>
            <w:tcW w:type="dxa" w:w="1500"/>
            <w:vAlign w:val="center"/>
          </w:tcPr>
          <w:p>
            <w:pPr>
              <w:spacing w:before="0" w:after="0"/>
              <w:jc w:val="center"/>
            </w:pPr>
            <w:r/>
            <w:r>
              <w:rPr>
                <w:rFonts w:ascii="Calibri" w:hAnsi="Calibri" w:eastAsia="Arial Unicode MS"/>
                <w:b w:val="0"/>
                <w:color w:val="111827"/>
                <w:sz w:val="16"/>
              </w:rPr>
              <w:t>风险 1</w:t>
            </w:r>
          </w:p>
        </w:tc>
      </w:tr>
      <w:tr>
        <w:tc>
          <w:tcPr>
            <w:tcW w:type="dxa" w:w="3720"/>
            <w:vAlign w:val="center"/>
          </w:tcPr>
          <w:p>
            <w:pPr>
              <w:spacing w:before="0" w:after="0"/>
            </w:pPr>
            <w:r/>
            <w:r>
              <w:rPr>
                <w:rFonts w:ascii="Calibri" w:hAnsi="Calibri" w:eastAsia="Arial Unicode MS"/>
                <w:b w:val="0"/>
                <w:color w:val="111827"/>
                <w:sz w:val="17"/>
              </w:rPr>
              <w:t>AI算力需求激增与电网扩容物理瓶颈：清洁制造转型龙头利润率的压力测试</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49.1</w:t>
            </w:r>
          </w:p>
        </w:tc>
        <w:tc>
          <w:tcPr>
            <w:tcW w:type="dxa" w:w="1500"/>
            <w:vAlign w:val="center"/>
          </w:tcPr>
          <w:p>
            <w:pPr>
              <w:spacing w:before="0" w:after="0"/>
              <w:jc w:val="center"/>
            </w:pPr>
            <w:r/>
            <w:r>
              <w:rPr>
                <w:rFonts w:ascii="Calibri" w:hAnsi="Calibri" w:eastAsia="Arial Unicode MS"/>
                <w:b w:val="0"/>
                <w:color w:val="111827"/>
                <w:sz w:val="16"/>
              </w:rPr>
              <w:t>风险 3</w:t>
            </w:r>
          </w:p>
        </w:tc>
      </w:tr>
      <w:tr>
        <w:tc>
          <w:tcPr>
            <w:tcW w:type="dxa" w:w="3720"/>
            <w:vAlign w:val="center"/>
          </w:tcPr>
          <w:p>
            <w:pPr>
              <w:spacing w:before="0" w:after="0"/>
            </w:pPr>
            <w:r/>
            <w:r>
              <w:rPr>
                <w:rFonts w:ascii="Calibri" w:hAnsi="Calibri" w:eastAsia="Arial Unicode MS"/>
                <w:b w:val="0"/>
                <w:color w:val="111827"/>
                <w:sz w:val="17"/>
              </w:rPr>
              <w:t>被推迟的通电周期：变压器交期拉长与并网时滞如何重塑超大规模云厂商（Hyperscaler）资本开支结构...</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48.4</w:t>
            </w:r>
          </w:p>
        </w:tc>
        <w:tc>
          <w:tcPr>
            <w:tcW w:type="dxa" w:w="1500"/>
            <w:vAlign w:val="center"/>
          </w:tcPr>
          <w:p>
            <w:pPr>
              <w:spacing w:before="0" w:after="0"/>
              <w:jc w:val="center"/>
            </w:pPr>
            <w:r/>
            <w:r>
              <w:rPr>
                <w:rFonts w:ascii="Calibri" w:hAnsi="Calibri" w:eastAsia="Arial Unicode MS"/>
                <w:b w:val="0"/>
                <w:color w:val="111827"/>
                <w:sz w:val="16"/>
              </w:rPr>
              <w:t>常规</w:t>
            </w:r>
          </w:p>
        </w:tc>
      </w:tr>
      <w:tr>
        <w:tc>
          <w:tcPr>
            <w:tcW w:type="dxa" w:w="3720"/>
            <w:vAlign w:val="center"/>
          </w:tcPr>
          <w:p>
            <w:pPr>
              <w:spacing w:before="0" w:after="0"/>
            </w:pPr>
            <w:r/>
            <w:r>
              <w:rPr>
                <w:rFonts w:ascii="Calibri" w:hAnsi="Calibri" w:eastAsia="Arial Unicode MS"/>
                <w:b w:val="0"/>
                <w:color w:val="111827"/>
                <w:sz w:val="17"/>
              </w:rPr>
              <w:t>AI电力与变压器瓶颈压力测试（2026-06-30）</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电力与电网</w:t>
            </w:r>
          </w:p>
        </w:tc>
        <w:tc>
          <w:tcPr>
            <w:tcW w:type="dxa" w:w="900"/>
            <w:vAlign w:val="center"/>
          </w:tcPr>
          <w:p>
            <w:pPr>
              <w:spacing w:before="0" w:after="0"/>
              <w:jc w:val="center"/>
            </w:pPr>
            <w:r/>
            <w:r>
              <w:rPr>
                <w:rFonts w:ascii="Calibri" w:hAnsi="Calibri" w:eastAsia="Arial Unicode MS"/>
                <w:b/>
                <w:color w:val="111827"/>
                <w:sz w:val="17"/>
              </w:rPr>
              <w:t>48.0</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电力设备出海与电网投资逻辑验证：评估变压器与电网设备龙头在海外高增长下的业绩确定性</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电力与电网</w:t>
            </w:r>
          </w:p>
        </w:tc>
        <w:tc>
          <w:tcPr>
            <w:tcW w:type="dxa" w:w="900"/>
            <w:vAlign w:val="center"/>
          </w:tcPr>
          <w:p>
            <w:pPr>
              <w:spacing w:before="0" w:after="0"/>
              <w:jc w:val="center"/>
            </w:pPr>
            <w:r/>
            <w:r>
              <w:rPr>
                <w:rFonts w:ascii="Calibri" w:hAnsi="Calibri" w:eastAsia="Arial Unicode MS"/>
                <w:b/>
                <w:color w:val="111827"/>
                <w:sz w:val="17"/>
              </w:rPr>
              <w:t>47.7</w:t>
            </w:r>
          </w:p>
        </w:tc>
        <w:tc>
          <w:tcPr>
            <w:tcW w:type="dxa" w:w="1500"/>
            <w:vAlign w:val="center"/>
          </w:tcPr>
          <w:p>
            <w:pPr>
              <w:spacing w:before="0" w:after="0"/>
              <w:jc w:val="center"/>
            </w:pPr>
            <w:r/>
            <w:r>
              <w:rPr>
                <w:rFonts w:ascii="Calibri" w:hAnsi="Calibri" w:eastAsia="Arial Unicode MS"/>
                <w:b w:val="0"/>
                <w:color w:val="111827"/>
                <w:sz w:val="16"/>
              </w:rPr>
              <w:t>常规</w:t>
            </w:r>
          </w:p>
        </w:tc>
      </w:tr>
      <w:tr>
        <w:tc>
          <w:tcPr>
            <w:tcW w:type="dxa" w:w="3720"/>
            <w:vAlign w:val="center"/>
          </w:tcPr>
          <w:p>
            <w:pPr>
              <w:spacing w:before="0" w:after="0"/>
            </w:pPr>
            <w:r/>
            <w:r>
              <w:rPr>
                <w:rFonts w:ascii="Calibri" w:hAnsi="Calibri" w:eastAsia="Arial Unicode MS"/>
                <w:b w:val="0"/>
                <w:color w:val="111827"/>
                <w:sz w:val="17"/>
              </w:rPr>
              <w:t>9卡多步AI基础设施与电网约束论证链的出版前质量审计报告</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47.1</w:t>
            </w:r>
          </w:p>
        </w:tc>
        <w:tc>
          <w:tcPr>
            <w:tcW w:type="dxa" w:w="1500"/>
            <w:vAlign w:val="center"/>
          </w:tcPr>
          <w:p>
            <w:pPr>
              <w:spacing w:before="0" w:after="0"/>
              <w:jc w:val="center"/>
            </w:pPr>
            <w:r/>
            <w:r>
              <w:rPr>
                <w:rFonts w:ascii="Calibri" w:hAnsi="Calibri" w:eastAsia="Arial Unicode MS"/>
                <w:b w:val="0"/>
                <w:color w:val="111827"/>
                <w:sz w:val="16"/>
              </w:rPr>
              <w:t>风险 3</w:t>
            </w:r>
          </w:p>
        </w:tc>
      </w:tr>
      <w:tr>
        <w:tc>
          <w:tcPr>
            <w:tcW w:type="dxa" w:w="3720"/>
            <w:vAlign w:val="center"/>
          </w:tcPr>
          <w:p>
            <w:pPr>
              <w:spacing w:before="0" w:after="0"/>
            </w:pPr>
            <w:r/>
            <w:r>
              <w:rPr>
                <w:rFonts w:ascii="Calibri" w:hAnsi="Calibri" w:eastAsia="Arial Unicode MS"/>
                <w:b w:val="0"/>
                <w:color w:val="111827"/>
                <w:sz w:val="17"/>
              </w:rPr>
              <w:t>压力测试BTM毛利率叙事：AI数据中心西迁下的独立绿电开发商毛利率与电网容量补偿收益重估</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47.0</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AI算力电力需求与电网瓶颈：压力测试中国中央融资、地方补贴与区域产业政策吸收能力</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46.8</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铜/GOES结构性成本通胀是否侵蚀红利轮动的利率前提？</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45.6</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估值重塑与风格轮动：电力配给下的战术防御性风险平价（TDRP）配置方案</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45.5</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先进封装（CoWoS/SoIC）与 HBM 产能：AI 能效转型的"闸门"</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AI 基础设施</w:t>
            </w:r>
          </w:p>
        </w:tc>
        <w:tc>
          <w:tcPr>
            <w:tcW w:type="dxa" w:w="900"/>
            <w:vAlign w:val="center"/>
          </w:tcPr>
          <w:p>
            <w:pPr>
              <w:spacing w:before="0" w:after="0"/>
              <w:jc w:val="center"/>
            </w:pPr>
            <w:r/>
            <w:r>
              <w:rPr>
                <w:rFonts w:ascii="Calibri" w:hAnsi="Calibri" w:eastAsia="Arial Unicode MS"/>
                <w:b/>
                <w:color w:val="111827"/>
                <w:sz w:val="17"/>
              </w:rPr>
              <w:t>45.3</w:t>
            </w:r>
          </w:p>
        </w:tc>
        <w:tc>
          <w:tcPr>
            <w:tcW w:type="dxa" w:w="1500"/>
            <w:vAlign w:val="center"/>
          </w:tcPr>
          <w:p>
            <w:pPr>
              <w:spacing w:before="0" w:after="0"/>
              <w:jc w:val="center"/>
            </w:pPr>
            <w:r/>
            <w:r>
              <w:rPr>
                <w:rFonts w:ascii="Calibri" w:hAnsi="Calibri" w:eastAsia="Arial Unicode MS"/>
                <w:b w:val="0"/>
                <w:color w:val="111827"/>
                <w:sz w:val="16"/>
              </w:rPr>
              <w:t>风险 1</w:t>
            </w:r>
          </w:p>
        </w:tc>
      </w:tr>
      <w:tr>
        <w:tc>
          <w:tcPr>
            <w:tcW w:type="dxa" w:w="3720"/>
            <w:vAlign w:val="center"/>
          </w:tcPr>
          <w:p>
            <w:pPr>
              <w:spacing w:before="0" w:after="0"/>
            </w:pPr>
            <w:r/>
            <w:r>
              <w:rPr>
                <w:rFonts w:ascii="Calibri" w:hAnsi="Calibri" w:eastAsia="Arial Unicode MS"/>
                <w:b w:val="0"/>
                <w:color w:val="111827"/>
                <w:sz w:val="17"/>
              </w:rPr>
              <w:t>中游开工收缩向上游原材料传导的量化评估与利润下修压力测试报告</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45.0</w:t>
            </w:r>
          </w:p>
        </w:tc>
        <w:tc>
          <w:tcPr>
            <w:tcW w:type="dxa" w:w="1500"/>
            <w:vAlign w:val="center"/>
          </w:tcPr>
          <w:p>
            <w:pPr>
              <w:spacing w:before="0" w:after="0"/>
              <w:jc w:val="center"/>
            </w:pPr>
            <w:r/>
            <w:r>
              <w:rPr>
                <w:rFonts w:ascii="Calibri" w:hAnsi="Calibri" w:eastAsia="Arial Unicode MS"/>
                <w:b w:val="0"/>
                <w:color w:val="111827"/>
                <w:sz w:val="16"/>
              </w:rPr>
              <w:t>风险 2</w:t>
            </w:r>
          </w:p>
        </w:tc>
      </w:tr>
      <w:tr>
        <w:tc>
          <w:tcPr>
            <w:tcW w:type="dxa" w:w="3720"/>
            <w:vAlign w:val="center"/>
          </w:tcPr>
          <w:p>
            <w:pPr>
              <w:spacing w:before="0" w:after="0"/>
            </w:pPr>
            <w:r/>
            <w:r>
              <w:rPr>
                <w:rFonts w:ascii="Calibri" w:hAnsi="Calibri" w:eastAsia="Arial Unicode MS"/>
                <w:b w:val="0"/>
                <w:color w:val="111827"/>
                <w:sz w:val="17"/>
              </w:rPr>
              <w:t>2026-06-30 能源压力测试：变压器紧缺是否会削弱“周期油”向“物理电力红利”的轮动？</w:t>
            </w:r>
          </w:p>
        </w:tc>
        <w:tc>
          <w:tcPr>
            <w:tcW w:type="dxa" w:w="1560"/>
            <w:vAlign w:val="center"/>
          </w:tcPr>
          <w:p>
            <w:pPr>
              <w:spacing w:before="0" w:after="0"/>
            </w:pPr>
            <w:r/>
            <w:r>
              <w:rPr>
                <w:rFonts w:ascii="Calibri" w:hAnsi="Calibri" w:eastAsia="Arial Unicode MS"/>
                <w:b w:val="0"/>
                <w:color w:val="111827"/>
                <w:sz w:val="16"/>
              </w:rPr>
              <w:t>未识别</w:t>
            </w:r>
          </w:p>
        </w:tc>
        <w:tc>
          <w:tcPr>
            <w:tcW w:type="dxa" w:w="1680"/>
            <w:vAlign w:val="center"/>
          </w:tcPr>
          <w:p>
            <w:pPr>
              <w:spacing w:before="0" w:after="0"/>
            </w:pPr>
            <w:r/>
            <w:r>
              <w:rPr>
                <w:rFonts w:ascii="Calibri" w:hAnsi="Calibri" w:eastAsia="Arial Unicode MS"/>
                <w:b w:val="0"/>
                <w:color w:val="111827"/>
                <w:sz w:val="16"/>
              </w:rPr>
              <w:t>电力与电网</w:t>
            </w:r>
          </w:p>
        </w:tc>
        <w:tc>
          <w:tcPr>
            <w:tcW w:type="dxa" w:w="900"/>
            <w:vAlign w:val="center"/>
          </w:tcPr>
          <w:p>
            <w:pPr>
              <w:spacing w:before="0" w:after="0"/>
              <w:jc w:val="center"/>
            </w:pPr>
            <w:r/>
            <w:r>
              <w:rPr>
                <w:rFonts w:ascii="Calibri" w:hAnsi="Calibri" w:eastAsia="Arial Unicode MS"/>
                <w:b/>
                <w:color w:val="111827"/>
                <w:sz w:val="17"/>
              </w:rPr>
              <w:t>45.0</w:t>
            </w:r>
          </w:p>
        </w:tc>
        <w:tc>
          <w:tcPr>
            <w:tcW w:type="dxa" w:w="1500"/>
            <w:vAlign w:val="center"/>
          </w:tcPr>
          <w:p>
            <w:pPr>
              <w:spacing w:before="0" w:after="0"/>
              <w:jc w:val="center"/>
            </w:pPr>
            <w:r/>
            <w:r>
              <w:rPr>
                <w:rFonts w:ascii="Calibri" w:hAnsi="Calibri" w:eastAsia="Arial Unicode MS"/>
                <w:b w:val="0"/>
                <w:color w:val="111827"/>
                <w:sz w:val="16"/>
              </w:rPr>
              <w:t>风险 1</w:t>
            </w:r>
          </w:p>
        </w:tc>
      </w:tr>
      <w:tr>
        <w:tc>
          <w:tcPr>
            <w:tcW w:type="dxa" w:w="3720"/>
            <w:vAlign w:val="center"/>
          </w:tcPr>
          <w:p>
            <w:pPr>
              <w:spacing w:before="0" w:after="0"/>
            </w:pPr>
            <w:r/>
            <w:r>
              <w:rPr>
                <w:rFonts w:ascii="Calibri" w:hAnsi="Calibri" w:eastAsia="Arial Unicode MS"/>
                <w:b w:val="0"/>
                <w:color w:val="111827"/>
                <w:sz w:val="17"/>
              </w:rPr>
              <w:t>主要大宗商品（铜、铝、锂、钢铁）供需与价格走势分析报告</w:t>
            </w:r>
          </w:p>
        </w:tc>
        <w:tc>
          <w:tcPr>
            <w:tcW w:type="dxa" w:w="1560"/>
            <w:vAlign w:val="center"/>
          </w:tcPr>
          <w:p>
            <w:pPr>
              <w:spacing w:before="0" w:after="0"/>
            </w:pPr>
            <w:r/>
            <w:r>
              <w:rPr>
                <w:rFonts w:ascii="Calibri" w:hAnsi="Calibri" w:eastAsia="Arial Unicode MS"/>
                <w:b w:val="0"/>
                <w:color w:val="111827"/>
                <w:sz w:val="16"/>
              </w:rPr>
              <w:t>材料行业分析师</w:t>
            </w:r>
          </w:p>
        </w:tc>
        <w:tc>
          <w:tcPr>
            <w:tcW w:type="dxa" w:w="1680"/>
            <w:vAlign w:val="center"/>
          </w:tcPr>
          <w:p>
            <w:pPr>
              <w:spacing w:before="0" w:after="0"/>
            </w:pPr>
            <w:r/>
            <w:r>
              <w:rPr>
                <w:rFonts w:ascii="Calibri" w:hAnsi="Calibri" w:eastAsia="Arial Unicode MS"/>
                <w:b w:val="0"/>
                <w:color w:val="111827"/>
                <w:sz w:val="16"/>
              </w:rPr>
              <w:t>宏观通胀传导</w:t>
            </w:r>
          </w:p>
        </w:tc>
        <w:tc>
          <w:tcPr>
            <w:tcW w:type="dxa" w:w="900"/>
            <w:vAlign w:val="center"/>
          </w:tcPr>
          <w:p>
            <w:pPr>
              <w:spacing w:before="0" w:after="0"/>
              <w:jc w:val="center"/>
            </w:pPr>
            <w:r/>
            <w:r>
              <w:rPr>
                <w:rFonts w:ascii="Calibri" w:hAnsi="Calibri" w:eastAsia="Arial Unicode MS"/>
                <w:b/>
                <w:color w:val="111827"/>
                <w:sz w:val="17"/>
              </w:rPr>
              <w:t>43.4</w:t>
            </w:r>
          </w:p>
        </w:tc>
        <w:tc>
          <w:tcPr>
            <w:tcW w:type="dxa" w:w="1500"/>
            <w:vAlign w:val="center"/>
          </w:tcPr>
          <w:p>
            <w:pPr>
              <w:spacing w:before="0" w:after="0"/>
              <w:jc w:val="center"/>
            </w:pPr>
            <w:r/>
            <w:r>
              <w:rPr>
                <w:rFonts w:ascii="Calibri" w:hAnsi="Calibri" w:eastAsia="Arial Unicode MS"/>
                <w:b w:val="0"/>
                <w:color w:val="111827"/>
                <w:sz w:val="16"/>
              </w:rPr>
              <w:t>风险 1</w:t>
            </w:r>
          </w:p>
        </w:tc>
      </w:tr>
    </w:tbl>
    <w:p>
      <w:pPr>
        <w:spacing w:before="0" w:after="160" w:line="264" w:lineRule="auto"/>
      </w:pPr>
      <w:r>
        <w:rPr>
          <w:rFonts w:ascii="Calibri" w:hAnsi="Calibri" w:eastAsia="Arial Unicode MS"/>
          <w:b w:val="0"/>
          <w:i/>
          <w:color w:val="667085"/>
          <w:sz w:val="17"/>
        </w:rPr>
        <w:t>Table 1. Evidence table excerpt. Full evidence remains available in the interactive daily brief.</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Arial Unicode MS"/>
        <w:color w:val="667085"/>
        <w:sz w:val="17"/>
      </w:rPr>
      <w:t>Generated from local AI Institute archive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rFonts w:ascii="Calibri" w:hAnsi="Calibri" w:eastAsia="Arial Unicode MS"/>
        <w:color w:val="667085"/>
        <w:sz w:val="18"/>
      </w:rPr>
      <w:t>AI Institute Daily Investor Brief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Arial Unicode MS"/>
      <w:b w:val="0"/>
      <w:color w:val="11182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Arial Unicode MS"/>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Arial Unicode MS"/>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Arial Unicode MS"/>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Arial Unicode MS"/>
      <w:b/>
      <w:color w:val="0B2545"/>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eastAsia="Arial Unicode MS"/>
      <w:b w:val="0"/>
      <w:i/>
      <w:iCs/>
      <w:color w:val="475569"/>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yperlink" Target="reports/archive-f2519cad3c01" TargetMode="External"/><Relationship Id="rId13" Type="http://schemas.openxmlformats.org/officeDocument/2006/relationships/hyperlink" Target="reports/archive-ce9eb6c137b8" TargetMode="External"/><Relationship Id="rId14" Type="http://schemas.openxmlformats.org/officeDocument/2006/relationships/hyperlink" Target="reports/archive-a5a295a0a454"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yperlink" Target="reports/archive-f8a64dc0b313" TargetMode="External"/><Relationship Id="rId20" Type="http://schemas.openxmlformats.org/officeDocument/2006/relationships/hyperlink" Target="reports/archive-f628fbad161e" TargetMode="External"/><Relationship Id="rId21" Type="http://schemas.openxmlformats.org/officeDocument/2006/relationships/hyperlink" Target="reports/archive-aa9e9ca50320" TargetMode="External"/><Relationship Id="rId22" Type="http://schemas.openxmlformats.org/officeDocument/2006/relationships/hyperlink" Target="reports/archive-12fc3431cd22" TargetMode="External"/><Relationship Id="rId23" Type="http://schemas.openxmlformats.org/officeDocument/2006/relationships/hyperlink" Target="reports/archive-95f0d6f2de3d" TargetMode="External"/><Relationship Id="rId24" Type="http://schemas.openxmlformats.org/officeDocument/2006/relationships/hyperlink" Target="reports/archive-17e7b8b9bc0c" TargetMode="External"/><Relationship Id="rId25" Type="http://schemas.openxmlformats.org/officeDocument/2006/relationships/hyperlink" Target="reports/archive-69b7df8b3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Institute Daily Brief 2026-06-30</dc:title>
  <dc:subject>Daily investor research brief</dc:subject>
  <dc:creator>AI Institute</dc:creator>
  <cp:keywords/>
  <dc:description>generated by python-docx</dc:description>
  <cp:lastModifiedBy/>
  <cp:revision>1</cp:revision>
  <dcterms:created xsi:type="dcterms:W3CDTF">2013-12-23T23:15:00Z</dcterms:created>
  <dcterms:modified xsi:type="dcterms:W3CDTF">2013-12-23T23:15:00Z</dcterms:modified>
  <cp:category/>
</cp:coreProperties>
</file>